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22CF" w14:textId="77777777" w:rsidR="00FF34C3" w:rsidRPr="004344C7" w:rsidRDefault="004344C7" w:rsidP="004344C7">
      <w:pPr>
        <w:jc w:val="center"/>
        <w:rPr>
          <w:sz w:val="40"/>
          <w:szCs w:val="40"/>
        </w:rPr>
      </w:pPr>
      <w:r w:rsidRPr="004344C7">
        <w:rPr>
          <w:sz w:val="40"/>
          <w:szCs w:val="40"/>
        </w:rPr>
        <w:t xml:space="preserve">Shielding Group Patients – Guidance Notes (Pen Y </w:t>
      </w:r>
      <w:proofErr w:type="spellStart"/>
      <w:r w:rsidRPr="004344C7">
        <w:rPr>
          <w:sz w:val="40"/>
          <w:szCs w:val="40"/>
        </w:rPr>
        <w:t>Bont</w:t>
      </w:r>
      <w:proofErr w:type="spellEnd"/>
      <w:r w:rsidRPr="004344C7">
        <w:rPr>
          <w:sz w:val="40"/>
          <w:szCs w:val="40"/>
        </w:rPr>
        <w:t>)</w:t>
      </w:r>
    </w:p>
    <w:p w14:paraId="40E93D16" w14:textId="77777777" w:rsidR="004344C7" w:rsidRDefault="004344C7" w:rsidP="004344C7">
      <w:pPr>
        <w:rPr>
          <w:sz w:val="18"/>
          <w:szCs w:val="18"/>
        </w:rPr>
      </w:pPr>
    </w:p>
    <w:p w14:paraId="4ED93F52" w14:textId="28603EC4" w:rsidR="004344C7" w:rsidRPr="004344C7" w:rsidRDefault="004344C7" w:rsidP="004344C7">
      <w:pPr>
        <w:rPr>
          <w:sz w:val="18"/>
          <w:szCs w:val="18"/>
        </w:rPr>
      </w:pPr>
      <w:r w:rsidRPr="0FB0BDF4">
        <w:rPr>
          <w:sz w:val="18"/>
          <w:szCs w:val="18"/>
        </w:rPr>
        <w:t xml:space="preserve">The guidance on shielding is incomplete and changes day by day. These notes reflect our current understanding / information sources. </w:t>
      </w:r>
      <w:r w:rsidR="00C5362C" w:rsidRPr="0FB0BDF4">
        <w:rPr>
          <w:sz w:val="18"/>
          <w:szCs w:val="18"/>
        </w:rPr>
        <w:t>All links checked 15.4.20</w:t>
      </w:r>
      <w:r w:rsidR="000E0E68" w:rsidRPr="0FB0BDF4">
        <w:rPr>
          <w:sz w:val="18"/>
          <w:szCs w:val="18"/>
        </w:rPr>
        <w:t xml:space="preserve"> and are to the specific guidance page not the main homepage.</w:t>
      </w:r>
      <w:r w:rsidR="03CD14BD" w:rsidRPr="0FB0BDF4">
        <w:rPr>
          <w:sz w:val="18"/>
          <w:szCs w:val="18"/>
        </w:rPr>
        <w:t xml:space="preserve"> There’s some </w:t>
      </w:r>
      <w:hyperlink r:id="rId9">
        <w:r w:rsidR="03CD14BD" w:rsidRPr="0FB0BDF4">
          <w:rPr>
            <w:rStyle w:val="Hyperlink"/>
            <w:sz w:val="18"/>
            <w:szCs w:val="18"/>
          </w:rPr>
          <w:t>RCGP eLearning on shielding</w:t>
        </w:r>
      </w:hyperlink>
      <w:r w:rsidR="03CD14BD">
        <w:t>.</w:t>
      </w:r>
      <w:r>
        <w:br/>
      </w:r>
      <w:r>
        <w:br/>
      </w:r>
      <w:r w:rsidRPr="0FB0BDF4">
        <w:rPr>
          <w:b/>
          <w:bCs/>
          <w:sz w:val="18"/>
          <w:szCs w:val="18"/>
        </w:rPr>
        <w:t>Basic Principles</w:t>
      </w:r>
    </w:p>
    <w:p w14:paraId="7F5F0DD1" w14:textId="77777777" w:rsidR="004344C7" w:rsidRPr="004344C7" w:rsidRDefault="004344C7" w:rsidP="004344C7">
      <w:pPr>
        <w:pStyle w:val="ListParagraph"/>
        <w:numPr>
          <w:ilvl w:val="0"/>
          <w:numId w:val="1"/>
        </w:numPr>
        <w:rPr>
          <w:sz w:val="18"/>
          <w:szCs w:val="18"/>
        </w:rPr>
      </w:pPr>
      <w:r w:rsidRPr="004344C7">
        <w:rPr>
          <w:sz w:val="18"/>
          <w:szCs w:val="18"/>
        </w:rPr>
        <w:t>3 groups – (1) highest risk/most vulnerable – strict shielding group (2) high risk - roughly = ‘flu jab’ group (3) everyone else.</w:t>
      </w:r>
    </w:p>
    <w:p w14:paraId="7CA213BE" w14:textId="77777777" w:rsidR="004344C7" w:rsidRPr="004344C7" w:rsidRDefault="004344C7" w:rsidP="004344C7">
      <w:pPr>
        <w:pStyle w:val="ListParagraph"/>
        <w:numPr>
          <w:ilvl w:val="0"/>
          <w:numId w:val="1"/>
        </w:numPr>
        <w:rPr>
          <w:sz w:val="18"/>
          <w:szCs w:val="18"/>
        </w:rPr>
      </w:pPr>
      <w:r w:rsidRPr="004344C7">
        <w:rPr>
          <w:sz w:val="18"/>
          <w:szCs w:val="18"/>
        </w:rPr>
        <w:t>Strict shielding is a huge ask of patients (it’s extremely restrictive both now and for long after ‘normality’ returns for others) and a big ask of the wider community (who need to deliver the practicalities that shielding means)… but it’s crucial for those at highest risk.</w:t>
      </w:r>
    </w:p>
    <w:p w14:paraId="70DC53EF" w14:textId="77777777" w:rsidR="004344C7" w:rsidRPr="004344C7" w:rsidRDefault="004344C7" w:rsidP="004344C7">
      <w:pPr>
        <w:pStyle w:val="ListParagraph"/>
        <w:numPr>
          <w:ilvl w:val="0"/>
          <w:numId w:val="1"/>
        </w:numPr>
        <w:rPr>
          <w:sz w:val="18"/>
          <w:szCs w:val="18"/>
        </w:rPr>
      </w:pPr>
      <w:r w:rsidRPr="004344C7">
        <w:rPr>
          <w:sz w:val="18"/>
          <w:szCs w:val="18"/>
        </w:rPr>
        <w:t>Shielding</w:t>
      </w:r>
      <w:r>
        <w:rPr>
          <w:sz w:val="18"/>
          <w:szCs w:val="18"/>
        </w:rPr>
        <w:t xml:space="preserve"> </w:t>
      </w:r>
      <w:r w:rsidRPr="004344C7">
        <w:rPr>
          <w:sz w:val="18"/>
          <w:szCs w:val="18"/>
        </w:rPr>
        <w:t xml:space="preserve"> </w:t>
      </w:r>
      <w:hyperlink r:id="rId10" w:history="1">
        <w:r w:rsidRPr="004344C7">
          <w:rPr>
            <w:rStyle w:val="Hyperlink"/>
            <w:sz w:val="18"/>
            <w:szCs w:val="18"/>
          </w:rPr>
          <w:t>https://gov.wales/guidance-on-shielding-and-protecting-people-defined-on-medical-grounds-as-extremely-vulnerable-from-coronavirus-covid-19-html</w:t>
        </w:r>
      </w:hyperlink>
    </w:p>
    <w:p w14:paraId="4F8CF807" w14:textId="77777777" w:rsidR="004344C7" w:rsidRDefault="004344C7" w:rsidP="004344C7">
      <w:pPr>
        <w:rPr>
          <w:sz w:val="18"/>
          <w:szCs w:val="18"/>
        </w:rPr>
      </w:pPr>
    </w:p>
    <w:p w14:paraId="6E13F64A" w14:textId="77777777" w:rsidR="004344C7" w:rsidRDefault="004344C7" w:rsidP="004344C7">
      <w:pPr>
        <w:rPr>
          <w:sz w:val="18"/>
          <w:szCs w:val="18"/>
        </w:rPr>
      </w:pPr>
      <w:r>
        <w:rPr>
          <w:b/>
          <w:sz w:val="18"/>
          <w:szCs w:val="18"/>
        </w:rPr>
        <w:t>Who i</w:t>
      </w:r>
      <w:r w:rsidRPr="004344C7">
        <w:rPr>
          <w:b/>
          <w:sz w:val="18"/>
          <w:szCs w:val="18"/>
        </w:rPr>
        <w:t>s in the shielding group?</w:t>
      </w:r>
      <w:r>
        <w:rPr>
          <w:b/>
          <w:sz w:val="18"/>
          <w:szCs w:val="18"/>
        </w:rPr>
        <w:t xml:space="preserve"> </w:t>
      </w:r>
      <w:r>
        <w:rPr>
          <w:sz w:val="18"/>
          <w:szCs w:val="18"/>
        </w:rPr>
        <w:t>Currently it’s 8 patient groups:</w:t>
      </w:r>
      <w:r>
        <w:rPr>
          <w:sz w:val="18"/>
          <w:szCs w:val="18"/>
        </w:rPr>
        <w:br/>
      </w:r>
    </w:p>
    <w:p w14:paraId="0EDC553E"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Solid organ transplant recipients</w:t>
      </w:r>
    </w:p>
    <w:p w14:paraId="35BEF5C7"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 xml:space="preserve">People with specific </w:t>
      </w:r>
      <w:proofErr w:type="gramStart"/>
      <w:r w:rsidRPr="004344C7">
        <w:rPr>
          <w:rFonts w:eastAsia="Times New Roman" w:cstheme="minorHAnsi"/>
          <w:color w:val="1F1F1F"/>
          <w:sz w:val="18"/>
          <w:szCs w:val="18"/>
          <w:lang w:eastAsia="en-GB"/>
        </w:rPr>
        <w:t>cancers</w:t>
      </w:r>
      <w:r>
        <w:rPr>
          <w:rFonts w:eastAsia="Times New Roman" w:cstheme="minorHAnsi"/>
          <w:color w:val="1F1F1F"/>
          <w:sz w:val="18"/>
          <w:szCs w:val="18"/>
          <w:lang w:eastAsia="en-GB"/>
        </w:rPr>
        <w:t xml:space="preserve"> </w:t>
      </w:r>
      <w:r w:rsidRPr="004344C7">
        <w:rPr>
          <w:rFonts w:eastAsia="Times New Roman" w:cstheme="minorHAnsi"/>
          <w:color w:val="1F1F1F"/>
          <w:sz w:val="18"/>
          <w:szCs w:val="18"/>
          <w:lang w:eastAsia="en-GB"/>
        </w:rPr>
        <w:t>:</w:t>
      </w:r>
      <w:proofErr w:type="gramEnd"/>
    </w:p>
    <w:p w14:paraId="79E7AD5B" w14:textId="77777777" w:rsidR="004344C7" w:rsidRPr="004344C7" w:rsidRDefault="004344C7" w:rsidP="004344C7">
      <w:pPr>
        <w:pStyle w:val="ListParagraph"/>
        <w:numPr>
          <w:ilvl w:val="1"/>
          <w:numId w:val="4"/>
        </w:numPr>
        <w:rPr>
          <w:sz w:val="18"/>
          <w:szCs w:val="18"/>
        </w:rPr>
      </w:pPr>
      <w:r w:rsidRPr="004344C7">
        <w:rPr>
          <w:rFonts w:eastAsia="Times New Roman" w:cstheme="minorHAnsi"/>
          <w:color w:val="1F1F1F"/>
          <w:sz w:val="18"/>
          <w:szCs w:val="18"/>
          <w:lang w:eastAsia="en-GB"/>
        </w:rPr>
        <w:t>People with cancer who are undergoing active chemotherapy or radical radiotherapy for lung cancer</w:t>
      </w:r>
    </w:p>
    <w:p w14:paraId="47F262A3" w14:textId="77777777" w:rsidR="004344C7" w:rsidRPr="004344C7" w:rsidRDefault="004344C7" w:rsidP="004344C7">
      <w:pPr>
        <w:pStyle w:val="ListParagraph"/>
        <w:numPr>
          <w:ilvl w:val="1"/>
          <w:numId w:val="4"/>
        </w:numPr>
        <w:rPr>
          <w:sz w:val="18"/>
          <w:szCs w:val="18"/>
        </w:rPr>
      </w:pPr>
      <w:r w:rsidRPr="004344C7">
        <w:rPr>
          <w:rFonts w:eastAsia="Times New Roman" w:cstheme="minorHAnsi"/>
          <w:color w:val="1F1F1F"/>
          <w:sz w:val="18"/>
          <w:szCs w:val="18"/>
          <w:lang w:eastAsia="en-GB"/>
        </w:rPr>
        <w:t>People with cancers of the blood or bone marrow such as leukaemia, lymphoma or myeloma who are at any stage of treatment</w:t>
      </w:r>
    </w:p>
    <w:p w14:paraId="38BED451" w14:textId="77777777" w:rsidR="004344C7" w:rsidRPr="004344C7" w:rsidRDefault="004344C7" w:rsidP="004344C7">
      <w:pPr>
        <w:pStyle w:val="ListParagraph"/>
        <w:numPr>
          <w:ilvl w:val="1"/>
          <w:numId w:val="4"/>
        </w:numPr>
        <w:rPr>
          <w:sz w:val="18"/>
          <w:szCs w:val="18"/>
        </w:rPr>
      </w:pPr>
      <w:r w:rsidRPr="004344C7">
        <w:rPr>
          <w:rFonts w:eastAsia="Times New Roman" w:cstheme="minorHAnsi"/>
          <w:color w:val="1F1F1F"/>
          <w:sz w:val="18"/>
          <w:szCs w:val="18"/>
          <w:lang w:eastAsia="en-GB"/>
        </w:rPr>
        <w:t>People having immunotherapy or other continuing antibody treatments for cancer</w:t>
      </w:r>
    </w:p>
    <w:p w14:paraId="0BE3FDBF" w14:textId="77777777" w:rsidR="004344C7" w:rsidRPr="004344C7" w:rsidRDefault="004344C7" w:rsidP="004344C7">
      <w:pPr>
        <w:pStyle w:val="ListParagraph"/>
        <w:numPr>
          <w:ilvl w:val="1"/>
          <w:numId w:val="4"/>
        </w:numPr>
        <w:rPr>
          <w:sz w:val="18"/>
          <w:szCs w:val="18"/>
        </w:rPr>
      </w:pPr>
      <w:r w:rsidRPr="004344C7">
        <w:rPr>
          <w:rFonts w:eastAsia="Times New Roman" w:cstheme="minorHAnsi"/>
          <w:color w:val="1F1F1F"/>
          <w:sz w:val="18"/>
          <w:szCs w:val="18"/>
          <w:lang w:eastAsia="en-GB"/>
        </w:rPr>
        <w:t>People having other targeted cancer treatments which can affect the immune system, such as protein kinase inhibitors or PARP inhibitors</w:t>
      </w:r>
    </w:p>
    <w:p w14:paraId="448A4574" w14:textId="77777777" w:rsidR="004344C7" w:rsidRPr="004344C7" w:rsidRDefault="004344C7" w:rsidP="004344C7">
      <w:pPr>
        <w:pStyle w:val="ListParagraph"/>
        <w:numPr>
          <w:ilvl w:val="1"/>
          <w:numId w:val="4"/>
        </w:numPr>
        <w:rPr>
          <w:sz w:val="18"/>
          <w:szCs w:val="18"/>
        </w:rPr>
      </w:pPr>
      <w:r w:rsidRPr="004344C7">
        <w:rPr>
          <w:rFonts w:eastAsia="Times New Roman" w:cstheme="minorHAnsi"/>
          <w:color w:val="1F1F1F"/>
          <w:sz w:val="18"/>
          <w:szCs w:val="18"/>
          <w:lang w:eastAsia="en-GB"/>
        </w:rPr>
        <w:t>People who have had bone marrow or stem cell transplants in the last 6 months, or who are still taking immunosuppression drugs</w:t>
      </w:r>
    </w:p>
    <w:p w14:paraId="07974E68"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People with severe respiratory conditions including all cystic fibrosis, severe asthma and severe Chronic Obstructive Pulmonary Disease (COPD)</w:t>
      </w:r>
    </w:p>
    <w:p w14:paraId="52A7A866"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People with severe single organ disease (e.g. Liver, Cardio, Renal, Neurological).</w:t>
      </w:r>
    </w:p>
    <w:p w14:paraId="04F428E0"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People with rare diseases and inborn errors of metabolism that significantly increase the risk of infections (such as Severe Combined Immunodeficiency (SCID), homozygous sickle cell).</w:t>
      </w:r>
    </w:p>
    <w:p w14:paraId="25D0C85B"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People on immunosuppression therapies sufficient to significantly increase risk of infection.</w:t>
      </w:r>
    </w:p>
    <w:p w14:paraId="55A320A0"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Pregnant women with significant heart disease, congenital or acquired.</w:t>
      </w:r>
    </w:p>
    <w:p w14:paraId="6E278498" w14:textId="77777777" w:rsidR="004344C7" w:rsidRPr="004344C7" w:rsidRDefault="004344C7" w:rsidP="004344C7">
      <w:pPr>
        <w:pStyle w:val="ListParagraph"/>
        <w:numPr>
          <w:ilvl w:val="0"/>
          <w:numId w:val="4"/>
        </w:numPr>
        <w:rPr>
          <w:sz w:val="18"/>
          <w:szCs w:val="18"/>
        </w:rPr>
      </w:pPr>
      <w:r w:rsidRPr="004344C7">
        <w:rPr>
          <w:rFonts w:eastAsia="Times New Roman" w:cstheme="minorHAnsi"/>
          <w:color w:val="1F1F1F"/>
          <w:sz w:val="18"/>
          <w:szCs w:val="18"/>
          <w:lang w:eastAsia="en-GB"/>
        </w:rPr>
        <w:t>Children up to the age of 18 with significant heart disease, congenital or acquired.</w:t>
      </w:r>
    </w:p>
    <w:p w14:paraId="7D16BFB0" w14:textId="77777777" w:rsidR="004344C7" w:rsidRDefault="004344C7" w:rsidP="004344C7">
      <w:pPr>
        <w:rPr>
          <w:sz w:val="18"/>
          <w:szCs w:val="18"/>
        </w:rPr>
      </w:pPr>
    </w:p>
    <w:p w14:paraId="6CC4C888" w14:textId="5145B295" w:rsidR="004344C7" w:rsidRDefault="004344C7" w:rsidP="004344C7">
      <w:pPr>
        <w:rPr>
          <w:sz w:val="18"/>
          <w:szCs w:val="18"/>
        </w:rPr>
      </w:pPr>
      <w:r>
        <w:rPr>
          <w:sz w:val="18"/>
          <w:szCs w:val="18"/>
        </w:rPr>
        <w:t>And for most of our patients it’s obvious – they’re either clearly in th</w:t>
      </w:r>
      <w:r w:rsidR="00826470">
        <w:rPr>
          <w:sz w:val="18"/>
          <w:szCs w:val="18"/>
        </w:rPr>
        <w:t>ose</w:t>
      </w:r>
      <w:r>
        <w:rPr>
          <w:sz w:val="18"/>
          <w:szCs w:val="18"/>
        </w:rPr>
        <w:t xml:space="preserve"> group</w:t>
      </w:r>
      <w:r w:rsidR="00826470">
        <w:rPr>
          <w:sz w:val="18"/>
          <w:szCs w:val="18"/>
        </w:rPr>
        <w:t>s</w:t>
      </w:r>
      <w:r>
        <w:rPr>
          <w:sz w:val="18"/>
          <w:szCs w:val="18"/>
        </w:rPr>
        <w:t xml:space="preserve"> or clearly not. The harder groups are 3 (severe asthma / COPD), 4 (severe single organ disease) and 6 (immunosuppression) and that’s primarily where these notes focus.</w:t>
      </w:r>
      <w:r w:rsidR="002D4EEC">
        <w:rPr>
          <w:sz w:val="18"/>
          <w:szCs w:val="18"/>
        </w:rPr>
        <w:t xml:space="preserve"> Disease or condition specific guidance is below.</w:t>
      </w:r>
    </w:p>
    <w:p w14:paraId="544E0483" w14:textId="77777777" w:rsidR="004344C7" w:rsidRDefault="004344C7" w:rsidP="004344C7">
      <w:pPr>
        <w:rPr>
          <w:sz w:val="18"/>
          <w:szCs w:val="18"/>
        </w:rPr>
      </w:pPr>
    </w:p>
    <w:p w14:paraId="50100036" w14:textId="71F2F6E5" w:rsidR="004344C7" w:rsidRDefault="004344C7" w:rsidP="004344C7">
      <w:pPr>
        <w:rPr>
          <w:sz w:val="18"/>
          <w:szCs w:val="18"/>
        </w:rPr>
      </w:pPr>
      <w:r w:rsidRPr="004344C7">
        <w:rPr>
          <w:b/>
          <w:sz w:val="18"/>
          <w:szCs w:val="18"/>
        </w:rPr>
        <w:t>Severe Asthma</w:t>
      </w:r>
      <w:r>
        <w:rPr>
          <w:b/>
          <w:sz w:val="18"/>
          <w:szCs w:val="18"/>
        </w:rPr>
        <w:br/>
      </w:r>
      <w:r>
        <w:rPr>
          <w:b/>
          <w:sz w:val="18"/>
          <w:szCs w:val="18"/>
        </w:rPr>
        <w:br/>
      </w:r>
      <w:hyperlink r:id="rId11" w:history="1">
        <w:proofErr w:type="spellStart"/>
        <w:r w:rsidRPr="004344C7">
          <w:rPr>
            <w:rStyle w:val="Hyperlink"/>
            <w:sz w:val="18"/>
            <w:szCs w:val="18"/>
          </w:rPr>
          <w:t>Asthma</w:t>
        </w:r>
        <w:proofErr w:type="spellEnd"/>
        <w:r w:rsidRPr="004344C7">
          <w:rPr>
            <w:rStyle w:val="Hyperlink"/>
            <w:sz w:val="18"/>
            <w:szCs w:val="18"/>
          </w:rPr>
          <w:t xml:space="preserve"> UK</w:t>
        </w:r>
      </w:hyperlink>
      <w:r>
        <w:rPr>
          <w:sz w:val="18"/>
          <w:szCs w:val="18"/>
        </w:rPr>
        <w:t xml:space="preserve"> say shield if </w:t>
      </w:r>
      <w:r w:rsidRPr="004344C7">
        <w:rPr>
          <w:b/>
          <w:sz w:val="18"/>
          <w:szCs w:val="18"/>
        </w:rPr>
        <w:t>ALL THREE</w:t>
      </w:r>
      <w:r>
        <w:rPr>
          <w:sz w:val="18"/>
          <w:szCs w:val="18"/>
        </w:rPr>
        <w:t xml:space="preserve"> of (1) asthma </w:t>
      </w:r>
      <w:r w:rsidRPr="004344C7">
        <w:rPr>
          <w:b/>
          <w:sz w:val="18"/>
          <w:szCs w:val="18"/>
        </w:rPr>
        <w:t>and</w:t>
      </w:r>
      <w:r>
        <w:rPr>
          <w:sz w:val="18"/>
          <w:szCs w:val="18"/>
        </w:rPr>
        <w:t xml:space="preserve"> (2) </w:t>
      </w:r>
      <w:r w:rsidRPr="004344C7">
        <w:rPr>
          <w:sz w:val="18"/>
          <w:szCs w:val="18"/>
        </w:rPr>
        <w:t>“</w:t>
      </w:r>
      <w:r w:rsidRPr="004344C7">
        <w:rPr>
          <w:color w:val="000000"/>
          <w:sz w:val="18"/>
          <w:szCs w:val="18"/>
          <w:shd w:val="clear" w:color="auto" w:fill="FFFFFF"/>
        </w:rPr>
        <w:t>continuous or frequent oral steroids”</w:t>
      </w:r>
      <w:r>
        <w:rPr>
          <w:color w:val="000000"/>
          <w:sz w:val="18"/>
          <w:szCs w:val="18"/>
          <w:shd w:val="clear" w:color="auto" w:fill="FFFFFF"/>
        </w:rPr>
        <w:t xml:space="preserve"> </w:t>
      </w:r>
      <w:r w:rsidRPr="004344C7">
        <w:rPr>
          <w:b/>
          <w:color w:val="000000"/>
          <w:sz w:val="18"/>
          <w:szCs w:val="18"/>
          <w:shd w:val="clear" w:color="auto" w:fill="FFFFFF"/>
        </w:rPr>
        <w:t>and</w:t>
      </w:r>
      <w:r>
        <w:rPr>
          <w:color w:val="000000"/>
          <w:sz w:val="18"/>
          <w:szCs w:val="18"/>
          <w:shd w:val="clear" w:color="auto" w:fill="FFFFFF"/>
        </w:rPr>
        <w:t xml:space="preserve"> (3) triple therapy i.e. reliever + preventer + controller </w:t>
      </w:r>
      <w:r w:rsidRPr="004344C7">
        <w:rPr>
          <w:color w:val="000000"/>
          <w:sz w:val="18"/>
          <w:szCs w:val="18"/>
          <w:shd w:val="clear" w:color="auto" w:fill="FFFFFF"/>
        </w:rPr>
        <w:t>(</w:t>
      </w:r>
      <w:r>
        <w:rPr>
          <w:color w:val="000000"/>
          <w:sz w:val="18"/>
          <w:szCs w:val="18"/>
          <w:shd w:val="clear" w:color="auto" w:fill="FFFFFF"/>
        </w:rPr>
        <w:t>m</w:t>
      </w:r>
      <w:r w:rsidRPr="004344C7">
        <w:rPr>
          <w:color w:val="000000"/>
          <w:sz w:val="18"/>
          <w:szCs w:val="18"/>
          <w:shd w:val="clear" w:color="auto" w:fill="FFFFFF"/>
        </w:rPr>
        <w:t>ontelukast, salmeterol or formoterol</w:t>
      </w:r>
      <w:r>
        <w:rPr>
          <w:color w:val="000000"/>
          <w:sz w:val="18"/>
          <w:szCs w:val="18"/>
          <w:shd w:val="clear" w:color="auto" w:fill="FFFFFF"/>
        </w:rPr>
        <w:t xml:space="preserve">) </w:t>
      </w:r>
      <w:r w:rsidRPr="004344C7">
        <w:rPr>
          <w:color w:val="000000"/>
          <w:sz w:val="18"/>
          <w:szCs w:val="18"/>
          <w:shd w:val="clear" w:color="auto" w:fill="FFFFFF"/>
        </w:rPr>
        <w:t xml:space="preserve">or a combination inhaler like Seretide, </w:t>
      </w:r>
      <w:proofErr w:type="spellStart"/>
      <w:r w:rsidRPr="004344C7">
        <w:rPr>
          <w:color w:val="000000"/>
          <w:sz w:val="18"/>
          <w:szCs w:val="18"/>
          <w:shd w:val="clear" w:color="auto" w:fill="FFFFFF"/>
        </w:rPr>
        <w:t>Fostair</w:t>
      </w:r>
      <w:proofErr w:type="spellEnd"/>
      <w:r w:rsidRPr="004344C7">
        <w:rPr>
          <w:color w:val="000000"/>
          <w:sz w:val="18"/>
          <w:szCs w:val="18"/>
          <w:shd w:val="clear" w:color="auto" w:fill="FFFFFF"/>
        </w:rPr>
        <w:t xml:space="preserve">, Symbicort, </w:t>
      </w:r>
      <w:proofErr w:type="spellStart"/>
      <w:r w:rsidRPr="004344C7">
        <w:rPr>
          <w:color w:val="000000"/>
          <w:sz w:val="18"/>
          <w:szCs w:val="18"/>
          <w:shd w:val="clear" w:color="auto" w:fill="FFFFFF"/>
        </w:rPr>
        <w:t>Flutiform</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Fobumix</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DuoResp</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Spiromax</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Combisal</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Sereflo</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Sirdupla</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Aloflute</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AirFluSal</w:t>
      </w:r>
      <w:proofErr w:type="spellEnd"/>
      <w:r w:rsidRPr="004344C7">
        <w:rPr>
          <w:color w:val="000000"/>
          <w:sz w:val="18"/>
          <w:szCs w:val="18"/>
          <w:shd w:val="clear" w:color="auto" w:fill="FFFFFF"/>
        </w:rPr>
        <w:t xml:space="preserve">, </w:t>
      </w:r>
      <w:proofErr w:type="spellStart"/>
      <w:r w:rsidRPr="004344C7">
        <w:rPr>
          <w:color w:val="000000"/>
          <w:sz w:val="18"/>
          <w:szCs w:val="18"/>
          <w:shd w:val="clear" w:color="auto" w:fill="FFFFFF"/>
        </w:rPr>
        <w:t>Relvar</w:t>
      </w:r>
      <w:proofErr w:type="spellEnd"/>
      <w:r w:rsidRPr="004344C7">
        <w:rPr>
          <w:color w:val="000000"/>
          <w:sz w:val="18"/>
          <w:szCs w:val="18"/>
          <w:shd w:val="clear" w:color="auto" w:fill="FFFFFF"/>
        </w:rPr>
        <w:t xml:space="preserve"> Ellipta, </w:t>
      </w:r>
      <w:proofErr w:type="spellStart"/>
      <w:r w:rsidRPr="004344C7">
        <w:rPr>
          <w:color w:val="000000"/>
          <w:sz w:val="18"/>
          <w:szCs w:val="18"/>
          <w:shd w:val="clear" w:color="auto" w:fill="FFFFFF"/>
        </w:rPr>
        <w:t>Fusacomb</w:t>
      </w:r>
      <w:proofErr w:type="spellEnd"/>
      <w:r w:rsidRPr="004344C7">
        <w:rPr>
          <w:color w:val="000000"/>
          <w:sz w:val="18"/>
          <w:szCs w:val="18"/>
          <w:shd w:val="clear" w:color="auto" w:fill="FFFFFF"/>
        </w:rPr>
        <w:t xml:space="preserve"> or </w:t>
      </w:r>
      <w:proofErr w:type="spellStart"/>
      <w:r w:rsidRPr="004344C7">
        <w:rPr>
          <w:color w:val="000000"/>
          <w:sz w:val="18"/>
          <w:szCs w:val="18"/>
          <w:shd w:val="clear" w:color="auto" w:fill="FFFFFF"/>
        </w:rPr>
        <w:t>Stalpex</w:t>
      </w:r>
      <w:proofErr w:type="spellEnd"/>
      <w:r w:rsidRPr="004344C7">
        <w:rPr>
          <w:color w:val="000000"/>
          <w:sz w:val="18"/>
          <w:szCs w:val="18"/>
          <w:shd w:val="clear" w:color="auto" w:fill="FFFFFF"/>
        </w:rPr>
        <w:t>)</w:t>
      </w:r>
      <w:r w:rsidR="007C05AD">
        <w:rPr>
          <w:color w:val="000000"/>
          <w:sz w:val="18"/>
          <w:szCs w:val="18"/>
          <w:shd w:val="clear" w:color="auto" w:fill="FFFFFF"/>
        </w:rPr>
        <w:t xml:space="preserve"> and that matches the </w:t>
      </w:r>
      <w:hyperlink r:id="rId12" w:history="1">
        <w:r w:rsidR="007C05AD" w:rsidRPr="007C05AD">
          <w:rPr>
            <w:rStyle w:val="Hyperlink"/>
            <w:sz w:val="18"/>
            <w:szCs w:val="18"/>
          </w:rPr>
          <w:t>NHS Digital</w:t>
        </w:r>
      </w:hyperlink>
      <w:r w:rsidR="007C05AD">
        <w:rPr>
          <w:sz w:val="18"/>
          <w:szCs w:val="18"/>
        </w:rPr>
        <w:t xml:space="preserve"> / CMO definition.</w:t>
      </w:r>
      <w:r>
        <w:rPr>
          <w:color w:val="000000"/>
          <w:sz w:val="18"/>
          <w:szCs w:val="18"/>
          <w:shd w:val="clear" w:color="auto" w:fill="FFFFFF"/>
        </w:rPr>
        <w:br/>
      </w:r>
    </w:p>
    <w:p w14:paraId="10E503AB" w14:textId="4C9A86A4" w:rsidR="004344C7" w:rsidRDefault="004344C7" w:rsidP="004344C7">
      <w:pPr>
        <w:rPr>
          <w:sz w:val="18"/>
          <w:szCs w:val="18"/>
        </w:rPr>
      </w:pPr>
      <w:r>
        <w:rPr>
          <w:sz w:val="18"/>
          <w:szCs w:val="18"/>
        </w:rPr>
        <w:t xml:space="preserve">The </w:t>
      </w:r>
      <w:hyperlink r:id="rId13" w:history="1">
        <w:r w:rsidRPr="004344C7">
          <w:rPr>
            <w:rStyle w:val="Hyperlink"/>
            <w:sz w:val="18"/>
            <w:szCs w:val="18"/>
          </w:rPr>
          <w:t>British Thoracic Society (BTS)</w:t>
        </w:r>
      </w:hyperlink>
      <w:r w:rsidRPr="004344C7">
        <w:rPr>
          <w:sz w:val="18"/>
          <w:szCs w:val="18"/>
        </w:rPr>
        <w:t xml:space="preserve"> </w:t>
      </w:r>
      <w:r>
        <w:rPr>
          <w:sz w:val="18"/>
          <w:szCs w:val="18"/>
        </w:rPr>
        <w:t>add “severe asthma on biologics” – the “…</w:t>
      </w:r>
      <w:proofErr w:type="spellStart"/>
      <w:r>
        <w:rPr>
          <w:sz w:val="18"/>
          <w:szCs w:val="18"/>
        </w:rPr>
        <w:t>mabs</w:t>
      </w:r>
      <w:proofErr w:type="spellEnd"/>
      <w:r>
        <w:rPr>
          <w:sz w:val="18"/>
          <w:szCs w:val="18"/>
        </w:rPr>
        <w:t>” – Omalizumab (Xolair), Mepolizumab (</w:t>
      </w:r>
      <w:proofErr w:type="spellStart"/>
      <w:r>
        <w:rPr>
          <w:sz w:val="18"/>
          <w:szCs w:val="18"/>
        </w:rPr>
        <w:t>Nucala</w:t>
      </w:r>
      <w:proofErr w:type="spellEnd"/>
      <w:r>
        <w:rPr>
          <w:sz w:val="18"/>
          <w:szCs w:val="18"/>
        </w:rPr>
        <w:t xml:space="preserve">), </w:t>
      </w:r>
      <w:proofErr w:type="spellStart"/>
      <w:r>
        <w:rPr>
          <w:sz w:val="18"/>
          <w:szCs w:val="18"/>
        </w:rPr>
        <w:t>Reslizumab</w:t>
      </w:r>
      <w:proofErr w:type="spellEnd"/>
      <w:r>
        <w:rPr>
          <w:sz w:val="18"/>
          <w:szCs w:val="18"/>
        </w:rPr>
        <w:t xml:space="preserve"> (</w:t>
      </w:r>
      <w:proofErr w:type="spellStart"/>
      <w:r>
        <w:rPr>
          <w:sz w:val="18"/>
          <w:szCs w:val="18"/>
        </w:rPr>
        <w:t>Cinqaero</w:t>
      </w:r>
      <w:proofErr w:type="spellEnd"/>
      <w:r>
        <w:rPr>
          <w:sz w:val="18"/>
          <w:szCs w:val="18"/>
        </w:rPr>
        <w:t xml:space="preserve">) and </w:t>
      </w:r>
      <w:proofErr w:type="spellStart"/>
      <w:r>
        <w:rPr>
          <w:sz w:val="18"/>
          <w:szCs w:val="18"/>
        </w:rPr>
        <w:t>Benralizumab</w:t>
      </w:r>
      <w:proofErr w:type="spellEnd"/>
      <w:r>
        <w:rPr>
          <w:sz w:val="18"/>
          <w:szCs w:val="18"/>
        </w:rPr>
        <w:t xml:space="preserve"> (</w:t>
      </w:r>
      <w:proofErr w:type="spellStart"/>
      <w:r>
        <w:rPr>
          <w:sz w:val="18"/>
          <w:szCs w:val="18"/>
        </w:rPr>
        <w:t>Fasenra</w:t>
      </w:r>
      <w:proofErr w:type="spellEnd"/>
      <w:r>
        <w:rPr>
          <w:sz w:val="18"/>
          <w:szCs w:val="18"/>
        </w:rPr>
        <w:t xml:space="preserve">) </w:t>
      </w:r>
      <w:r w:rsidR="007C05AD">
        <w:rPr>
          <w:sz w:val="18"/>
          <w:szCs w:val="18"/>
        </w:rPr>
        <w:t>(</w:t>
      </w:r>
      <w:hyperlink r:id="rId14" w:history="1">
        <w:r w:rsidRPr="004344C7">
          <w:rPr>
            <w:rStyle w:val="Hyperlink"/>
            <w:sz w:val="18"/>
            <w:szCs w:val="18"/>
          </w:rPr>
          <w:t>Asthma UK website</w:t>
        </w:r>
      </w:hyperlink>
      <w:r w:rsidR="007C05AD">
        <w:rPr>
          <w:sz w:val="18"/>
          <w:szCs w:val="18"/>
        </w:rPr>
        <w:t>)</w:t>
      </w:r>
      <w:r>
        <w:rPr>
          <w:sz w:val="18"/>
          <w:szCs w:val="18"/>
        </w:rPr>
        <w:t>.</w:t>
      </w:r>
      <w:r>
        <w:rPr>
          <w:sz w:val="18"/>
          <w:szCs w:val="18"/>
        </w:rPr>
        <w:br/>
      </w:r>
    </w:p>
    <w:p w14:paraId="3CCA67C0" w14:textId="4C67A69F" w:rsidR="004344C7" w:rsidRPr="00D0306E" w:rsidRDefault="008A46D8" w:rsidP="007C05AD">
      <w:pPr>
        <w:rPr>
          <w:rFonts w:eastAsiaTheme="minorEastAsia" w:cstheme="minorBidi"/>
          <w:color w:val="231F20"/>
          <w:sz w:val="18"/>
          <w:szCs w:val="18"/>
          <w:u w:val="single"/>
        </w:rPr>
      </w:pPr>
      <w:r w:rsidRPr="007C05AD">
        <w:rPr>
          <w:sz w:val="18"/>
          <w:szCs w:val="18"/>
        </w:rPr>
        <w:t>Wha</w:t>
      </w:r>
      <w:r w:rsidR="007C05AD" w:rsidRPr="007C05AD">
        <w:rPr>
          <w:sz w:val="18"/>
          <w:szCs w:val="18"/>
        </w:rPr>
        <w:t>t</w:t>
      </w:r>
      <w:r w:rsidRPr="007C05AD">
        <w:rPr>
          <w:sz w:val="18"/>
          <w:szCs w:val="18"/>
        </w:rPr>
        <w:t xml:space="preserve"> are “frequent oral steroids” </w:t>
      </w:r>
      <w:r w:rsidR="007C05AD" w:rsidRPr="007C05AD">
        <w:rPr>
          <w:sz w:val="18"/>
          <w:szCs w:val="18"/>
        </w:rPr>
        <w:t>–</w:t>
      </w:r>
      <w:r w:rsidRPr="007C05AD">
        <w:rPr>
          <w:sz w:val="18"/>
          <w:szCs w:val="18"/>
        </w:rPr>
        <w:t xml:space="preserve"> </w:t>
      </w:r>
      <w:r w:rsidR="007C05AD" w:rsidRPr="007C05AD">
        <w:rPr>
          <w:sz w:val="18"/>
          <w:szCs w:val="18"/>
        </w:rPr>
        <w:t xml:space="preserve">hard to find a robust definition but </w:t>
      </w:r>
      <w:hyperlink r:id="rId15" w:history="1">
        <w:r w:rsidR="007C05AD" w:rsidRPr="007C05AD">
          <w:rPr>
            <w:rStyle w:val="Hyperlink"/>
            <w:sz w:val="18"/>
            <w:szCs w:val="18"/>
          </w:rPr>
          <w:t>NHS Digital</w:t>
        </w:r>
      </w:hyperlink>
      <w:r w:rsidR="007C05AD" w:rsidRPr="007C05AD">
        <w:rPr>
          <w:sz w:val="18"/>
          <w:szCs w:val="18"/>
        </w:rPr>
        <w:t xml:space="preserve"> used “</w:t>
      </w:r>
      <w:r w:rsidR="007C05AD" w:rsidRPr="007C05AD">
        <w:rPr>
          <w:rFonts w:cs="Arial"/>
          <w:color w:val="212B32"/>
          <w:sz w:val="18"/>
          <w:szCs w:val="18"/>
          <w:shd w:val="clear" w:color="auto" w:fill="F0F4F5"/>
        </w:rPr>
        <w:t>four or more prescriptions for prednisolone over the six months</w:t>
      </w:r>
      <w:r w:rsidR="007C05AD" w:rsidRPr="007C05AD">
        <w:rPr>
          <w:sz w:val="18"/>
          <w:szCs w:val="18"/>
        </w:rPr>
        <w:t>” prior to 19.3.20</w:t>
      </w:r>
      <w:r w:rsidR="007C05AD">
        <w:rPr>
          <w:sz w:val="18"/>
          <w:szCs w:val="18"/>
        </w:rPr>
        <w:t>. Our working definition is “</w:t>
      </w:r>
      <w:r w:rsidRPr="007C05AD">
        <w:rPr>
          <w:sz w:val="18"/>
          <w:szCs w:val="18"/>
        </w:rPr>
        <w:t>oral steroid for &gt;3 months or more than 3 or 4 short courses per year</w:t>
      </w:r>
      <w:r w:rsidR="007C05AD">
        <w:rPr>
          <w:sz w:val="18"/>
          <w:szCs w:val="18"/>
        </w:rPr>
        <w:t>”</w:t>
      </w:r>
      <w:r w:rsidR="002118ED">
        <w:rPr>
          <w:sz w:val="18"/>
          <w:szCs w:val="18"/>
        </w:rPr>
        <w:t xml:space="preserve"> and </w:t>
      </w:r>
      <w:r w:rsidR="003D7B83">
        <w:rPr>
          <w:sz w:val="18"/>
          <w:szCs w:val="18"/>
        </w:rPr>
        <w:t xml:space="preserve">in </w:t>
      </w:r>
      <w:r w:rsidR="002118ED">
        <w:rPr>
          <w:sz w:val="18"/>
          <w:szCs w:val="18"/>
        </w:rPr>
        <w:t xml:space="preserve">the section on immunosuppression below </w:t>
      </w:r>
      <w:r w:rsidR="003D7B83">
        <w:rPr>
          <w:sz w:val="18"/>
          <w:szCs w:val="18"/>
        </w:rPr>
        <w:t>we’ve used</w:t>
      </w:r>
      <w:r w:rsidR="002118ED">
        <w:rPr>
          <w:sz w:val="18"/>
          <w:szCs w:val="18"/>
        </w:rPr>
        <w:t xml:space="preserve"> the </w:t>
      </w:r>
      <w:r w:rsidR="002118ED" w:rsidRPr="0FB0BDF4">
        <w:rPr>
          <w:rFonts w:eastAsiaTheme="minorEastAsia" w:cstheme="minorBidi"/>
          <w:color w:val="231F20"/>
          <w:sz w:val="18"/>
          <w:szCs w:val="18"/>
        </w:rPr>
        <w:t xml:space="preserve">British Rheumatology Society </w:t>
      </w:r>
      <w:hyperlink r:id="rId16">
        <w:r w:rsidR="002118ED" w:rsidRPr="0FB0BDF4">
          <w:rPr>
            <w:rStyle w:val="Hyperlink"/>
            <w:rFonts w:eastAsiaTheme="minorEastAsia" w:cstheme="minorBidi"/>
            <w:color w:val="231F20"/>
            <w:sz w:val="18"/>
            <w:szCs w:val="18"/>
          </w:rPr>
          <w:t>covid-19 risk scoring guide</w:t>
        </w:r>
      </w:hyperlink>
      <w:r w:rsidR="00D0306E">
        <w:rPr>
          <w:rStyle w:val="Hyperlink"/>
          <w:rFonts w:eastAsiaTheme="minorEastAsia" w:cstheme="minorBidi"/>
          <w:color w:val="231F20"/>
          <w:sz w:val="18"/>
          <w:szCs w:val="18"/>
          <w:u w:val="none"/>
        </w:rPr>
        <w:t xml:space="preserve"> w</w:t>
      </w:r>
      <w:r w:rsidR="00D0306E" w:rsidRPr="00D0306E">
        <w:rPr>
          <w:rStyle w:val="Hyperlink"/>
          <w:rFonts w:eastAsiaTheme="minorEastAsia" w:cstheme="minorBidi"/>
          <w:color w:val="231F20"/>
          <w:sz w:val="18"/>
          <w:szCs w:val="18"/>
          <w:u w:val="none"/>
        </w:rPr>
        <w:t>hich</w:t>
      </w:r>
      <w:r w:rsidR="00D0306E">
        <w:rPr>
          <w:rStyle w:val="Hyperlink"/>
          <w:rFonts w:eastAsiaTheme="minorEastAsia" w:cstheme="minorBidi"/>
          <w:color w:val="231F20"/>
          <w:sz w:val="18"/>
          <w:szCs w:val="18"/>
          <w:u w:val="none"/>
        </w:rPr>
        <w:t>, for steroids, would seem entirely reasonable definitions.</w:t>
      </w:r>
      <w:r w:rsidR="004344C7" w:rsidRPr="00D0306E">
        <w:rPr>
          <w:sz w:val="18"/>
          <w:szCs w:val="18"/>
        </w:rPr>
        <w:br/>
      </w:r>
    </w:p>
    <w:p w14:paraId="03111B40" w14:textId="3162CD43" w:rsidR="00FE7C11" w:rsidRDefault="007C05AD" w:rsidP="004344C7">
      <w:pPr>
        <w:rPr>
          <w:sz w:val="18"/>
          <w:szCs w:val="18"/>
        </w:rPr>
      </w:pPr>
      <w:r w:rsidRPr="007C05AD">
        <w:rPr>
          <w:b/>
          <w:sz w:val="18"/>
          <w:szCs w:val="18"/>
        </w:rPr>
        <w:t>Severe COPD</w:t>
      </w:r>
      <w:r w:rsidR="00C52C71">
        <w:rPr>
          <w:b/>
          <w:sz w:val="18"/>
          <w:szCs w:val="18"/>
        </w:rPr>
        <w:br/>
      </w:r>
      <w:r w:rsidR="00C52C71">
        <w:rPr>
          <w:b/>
          <w:sz w:val="18"/>
          <w:szCs w:val="18"/>
        </w:rPr>
        <w:br/>
      </w:r>
      <w:r w:rsidR="002D4EEC">
        <w:rPr>
          <w:sz w:val="18"/>
          <w:szCs w:val="18"/>
        </w:rPr>
        <w:t xml:space="preserve">For shielding, </w:t>
      </w:r>
      <w:r w:rsidR="00C52C71" w:rsidRPr="00C52C71">
        <w:rPr>
          <w:sz w:val="18"/>
          <w:szCs w:val="18"/>
        </w:rPr>
        <w:t>NHS Digital used “</w:t>
      </w:r>
      <w:r w:rsidR="00C52C71" w:rsidRPr="00C52C71">
        <w:rPr>
          <w:rFonts w:cs="Arial"/>
          <w:color w:val="212B32"/>
          <w:sz w:val="18"/>
          <w:szCs w:val="18"/>
          <w:shd w:val="clear" w:color="auto" w:fill="F0F4F5"/>
        </w:rPr>
        <w:t>those patients who are prescribed “triple therapy” inhalers and/or roflumilast”</w:t>
      </w:r>
      <w:r w:rsidR="00C52C71">
        <w:rPr>
          <w:b/>
          <w:sz w:val="18"/>
          <w:szCs w:val="18"/>
        </w:rPr>
        <w:t xml:space="preserve"> </w:t>
      </w:r>
      <w:r w:rsidR="00C52C71">
        <w:rPr>
          <w:sz w:val="18"/>
          <w:szCs w:val="18"/>
        </w:rPr>
        <w:t xml:space="preserve">i.e. LAMA + LABA + ICS (either as combination e.g. </w:t>
      </w:r>
      <w:proofErr w:type="spellStart"/>
      <w:r w:rsidR="00C52C71">
        <w:rPr>
          <w:sz w:val="18"/>
          <w:szCs w:val="18"/>
        </w:rPr>
        <w:t>Trimbow</w:t>
      </w:r>
      <w:proofErr w:type="spellEnd"/>
      <w:r w:rsidR="00C52C71">
        <w:rPr>
          <w:sz w:val="18"/>
          <w:szCs w:val="18"/>
        </w:rPr>
        <w:t xml:space="preserve"> or </w:t>
      </w:r>
      <w:proofErr w:type="spellStart"/>
      <w:r w:rsidR="00C52C71">
        <w:rPr>
          <w:sz w:val="18"/>
          <w:szCs w:val="18"/>
        </w:rPr>
        <w:t>Trelegy</w:t>
      </w:r>
      <w:proofErr w:type="spellEnd"/>
      <w:r w:rsidR="00C52C71">
        <w:rPr>
          <w:sz w:val="18"/>
          <w:szCs w:val="18"/>
        </w:rPr>
        <w:t xml:space="preserve"> or as individual inhalers). There’s a really useful table at </w:t>
      </w:r>
      <w:hyperlink r:id="rId17" w:history="1">
        <w:r w:rsidR="00C52C71" w:rsidRPr="00C52C71">
          <w:rPr>
            <w:rStyle w:val="Hyperlink"/>
            <w:sz w:val="18"/>
            <w:szCs w:val="18"/>
          </w:rPr>
          <w:t>PCRS</w:t>
        </w:r>
      </w:hyperlink>
      <w:r w:rsidR="00FE7C11">
        <w:rPr>
          <w:sz w:val="18"/>
          <w:szCs w:val="18"/>
        </w:rPr>
        <w:t>.</w:t>
      </w:r>
      <w:r w:rsidR="00FE7C11">
        <w:rPr>
          <w:sz w:val="18"/>
          <w:szCs w:val="18"/>
        </w:rPr>
        <w:br/>
      </w:r>
      <w:r w:rsidR="00FE7C11">
        <w:rPr>
          <w:sz w:val="18"/>
          <w:szCs w:val="18"/>
        </w:rPr>
        <w:br/>
      </w:r>
      <w:hyperlink r:id="rId18" w:history="1">
        <w:r w:rsidR="00FE7C11" w:rsidRPr="00FE7C11">
          <w:rPr>
            <w:rStyle w:val="Hyperlink"/>
            <w:sz w:val="18"/>
            <w:szCs w:val="18"/>
          </w:rPr>
          <w:t>GOLD</w:t>
        </w:r>
      </w:hyperlink>
      <w:r w:rsidR="00FE7C11">
        <w:rPr>
          <w:sz w:val="18"/>
          <w:szCs w:val="18"/>
        </w:rPr>
        <w:t xml:space="preserve"> 2020 (p27) uses the standard (post bronchodilator FEV1/FVC &lt; 0.7) definition with “severe” being a post bronchodilator FEV1 of &lt; 50% predicted.</w:t>
      </w:r>
      <w:r w:rsidR="00FE7C11">
        <w:rPr>
          <w:sz w:val="18"/>
          <w:szCs w:val="18"/>
        </w:rPr>
        <w:br/>
      </w:r>
      <w:r w:rsidR="00FE7C11">
        <w:rPr>
          <w:sz w:val="18"/>
          <w:szCs w:val="18"/>
        </w:rPr>
        <w:br/>
        <w:t>If we have them, a modified MRC dyspnoea score, CAT score and exacerbation history may be useful (</w:t>
      </w:r>
      <w:hyperlink r:id="rId19" w:history="1">
        <w:r w:rsidR="00FE7C11" w:rsidRPr="00FE7C11">
          <w:rPr>
            <w:rStyle w:val="Hyperlink"/>
            <w:sz w:val="18"/>
            <w:szCs w:val="18"/>
          </w:rPr>
          <w:t>GOLD ABCD</w:t>
        </w:r>
      </w:hyperlink>
      <w:r w:rsidR="00FE7C11">
        <w:rPr>
          <w:sz w:val="18"/>
          <w:szCs w:val="18"/>
        </w:rPr>
        <w:t xml:space="preserve"> p9 &amp; 11) generally but for quick decision making – FeV1 &lt; 50% predicted or triple therapy is a good rule of thumb.</w:t>
      </w:r>
    </w:p>
    <w:p w14:paraId="26AA9D79" w14:textId="62792BCF" w:rsidR="007C05AD" w:rsidRPr="00C52C71" w:rsidRDefault="007C05AD" w:rsidP="004344C7">
      <w:pPr>
        <w:rPr>
          <w:b/>
          <w:sz w:val="18"/>
          <w:szCs w:val="18"/>
        </w:rPr>
      </w:pPr>
    </w:p>
    <w:p w14:paraId="7F58A9FD" w14:textId="05B2FE45" w:rsidR="00C52C71" w:rsidRPr="00C52C71" w:rsidRDefault="00C52C71" w:rsidP="004344C7">
      <w:pPr>
        <w:rPr>
          <w:b/>
          <w:sz w:val="18"/>
          <w:szCs w:val="18"/>
        </w:rPr>
      </w:pPr>
      <w:r w:rsidRPr="00C52C71">
        <w:rPr>
          <w:b/>
          <w:sz w:val="18"/>
          <w:szCs w:val="18"/>
        </w:rPr>
        <w:t>Other Chronic Lung Diseases</w:t>
      </w:r>
    </w:p>
    <w:p w14:paraId="58E7B622" w14:textId="6A0F44FC" w:rsidR="00C52C71" w:rsidRDefault="00C52C71" w:rsidP="004344C7">
      <w:pPr>
        <w:rPr>
          <w:sz w:val="18"/>
          <w:szCs w:val="18"/>
        </w:rPr>
      </w:pPr>
    </w:p>
    <w:p w14:paraId="7DF8F9A7" w14:textId="77777777" w:rsidR="00490D1D" w:rsidRPr="00490D1D" w:rsidRDefault="00C5362C" w:rsidP="00490D1D">
      <w:pPr>
        <w:pStyle w:val="ListParagraph"/>
        <w:numPr>
          <w:ilvl w:val="0"/>
          <w:numId w:val="5"/>
        </w:numPr>
        <w:rPr>
          <w:sz w:val="18"/>
          <w:szCs w:val="18"/>
        </w:rPr>
      </w:pPr>
      <w:r w:rsidRPr="00490D1D">
        <w:rPr>
          <w:sz w:val="18"/>
          <w:szCs w:val="18"/>
        </w:rPr>
        <w:t xml:space="preserve">Interstitial lung disease / pulmonary fibrosis </w:t>
      </w:r>
      <w:r w:rsidRPr="00490D1D">
        <w:rPr>
          <w:rFonts w:ascii="Wingdings" w:eastAsia="Wingdings" w:hAnsi="Wingdings" w:cs="Wingdings"/>
          <w:sz w:val="18"/>
          <w:szCs w:val="18"/>
        </w:rPr>
        <w:t>à</w:t>
      </w:r>
      <w:r w:rsidRPr="00490D1D">
        <w:rPr>
          <w:sz w:val="18"/>
          <w:szCs w:val="18"/>
        </w:rPr>
        <w:t xml:space="preserve"> shield (should have had letters - </w:t>
      </w:r>
      <w:hyperlink r:id="rId20" w:history="1">
        <w:r w:rsidRPr="00490D1D">
          <w:rPr>
            <w:rStyle w:val="Hyperlink"/>
            <w:sz w:val="18"/>
            <w:szCs w:val="18"/>
          </w:rPr>
          <w:t>Action on Pulmonary Fibrosis</w:t>
        </w:r>
      </w:hyperlink>
      <w:r w:rsidRPr="00490D1D">
        <w:rPr>
          <w:sz w:val="18"/>
          <w:szCs w:val="18"/>
        </w:rPr>
        <w:t xml:space="preserve"> and </w:t>
      </w:r>
      <w:hyperlink r:id="rId21" w:history="1">
        <w:r w:rsidRPr="00490D1D">
          <w:rPr>
            <w:rStyle w:val="Hyperlink"/>
            <w:sz w:val="18"/>
            <w:szCs w:val="18"/>
          </w:rPr>
          <w:t>BTS</w:t>
        </w:r>
      </w:hyperlink>
      <w:r w:rsidRPr="00490D1D">
        <w:rPr>
          <w:sz w:val="18"/>
          <w:szCs w:val="18"/>
        </w:rPr>
        <w:t>)</w:t>
      </w:r>
    </w:p>
    <w:p w14:paraId="536EDF81" w14:textId="78697C59" w:rsidR="00490D1D" w:rsidRPr="00490D1D" w:rsidRDefault="00490D1D" w:rsidP="00490D1D">
      <w:pPr>
        <w:pStyle w:val="ListParagraph"/>
        <w:numPr>
          <w:ilvl w:val="0"/>
          <w:numId w:val="5"/>
        </w:numPr>
        <w:rPr>
          <w:sz w:val="18"/>
          <w:szCs w:val="18"/>
        </w:rPr>
      </w:pPr>
      <w:r w:rsidRPr="00490D1D">
        <w:rPr>
          <w:b/>
          <w:sz w:val="18"/>
          <w:szCs w:val="18"/>
        </w:rPr>
        <w:t>Active</w:t>
      </w:r>
      <w:r w:rsidRPr="00490D1D">
        <w:rPr>
          <w:sz w:val="18"/>
          <w:szCs w:val="18"/>
        </w:rPr>
        <w:t xml:space="preserve"> Pulmonary Sarcoidosis </w:t>
      </w:r>
      <w:r w:rsidRPr="00490D1D">
        <w:rPr>
          <w:rFonts w:ascii="Wingdings" w:eastAsia="Wingdings" w:hAnsi="Wingdings" w:cs="Wingdings"/>
          <w:sz w:val="18"/>
          <w:szCs w:val="18"/>
        </w:rPr>
        <w:t>à</w:t>
      </w:r>
      <w:r w:rsidRPr="00490D1D">
        <w:rPr>
          <w:sz w:val="18"/>
          <w:szCs w:val="18"/>
        </w:rPr>
        <w:t xml:space="preserve"> shield (</w:t>
      </w:r>
      <w:hyperlink r:id="rId22" w:history="1">
        <w:r w:rsidRPr="00490D1D">
          <w:rPr>
            <w:rStyle w:val="Hyperlink"/>
            <w:sz w:val="18"/>
            <w:szCs w:val="18"/>
          </w:rPr>
          <w:t>Sarcoidosis UK</w:t>
        </w:r>
      </w:hyperlink>
      <w:r w:rsidRPr="00490D1D">
        <w:rPr>
          <w:sz w:val="18"/>
          <w:szCs w:val="18"/>
        </w:rPr>
        <w:t xml:space="preserve"> and </w:t>
      </w:r>
      <w:hyperlink r:id="rId23" w:history="1">
        <w:r w:rsidRPr="00490D1D">
          <w:rPr>
            <w:rStyle w:val="Hyperlink"/>
            <w:sz w:val="18"/>
            <w:szCs w:val="18"/>
          </w:rPr>
          <w:t>BTS</w:t>
        </w:r>
      </w:hyperlink>
      <w:r w:rsidRPr="00490D1D">
        <w:rPr>
          <w:sz w:val="18"/>
          <w:szCs w:val="18"/>
        </w:rPr>
        <w:t xml:space="preserve">). For remission and other sites, see Sarcoidosis section below </w:t>
      </w:r>
    </w:p>
    <w:p w14:paraId="78EAE241" w14:textId="11E59D61" w:rsidR="00C5362C" w:rsidRPr="00490D1D" w:rsidRDefault="00954D5B" w:rsidP="00C5362C">
      <w:pPr>
        <w:pStyle w:val="ListParagraph"/>
        <w:numPr>
          <w:ilvl w:val="0"/>
          <w:numId w:val="5"/>
        </w:numPr>
        <w:rPr>
          <w:sz w:val="18"/>
          <w:szCs w:val="18"/>
        </w:rPr>
      </w:pPr>
      <w:r>
        <w:rPr>
          <w:sz w:val="18"/>
          <w:szCs w:val="18"/>
        </w:rPr>
        <w:t xml:space="preserve">Cystic Fibrosis </w:t>
      </w:r>
      <w:r w:rsidRPr="00954D5B">
        <w:rPr>
          <w:rFonts w:ascii="Wingdings" w:eastAsia="Wingdings" w:hAnsi="Wingdings" w:cs="Wingdings"/>
          <w:sz w:val="18"/>
          <w:szCs w:val="18"/>
        </w:rPr>
        <w:t>à</w:t>
      </w:r>
      <w:r>
        <w:rPr>
          <w:sz w:val="18"/>
          <w:szCs w:val="18"/>
        </w:rPr>
        <w:t xml:space="preserve"> shield</w:t>
      </w:r>
    </w:p>
    <w:p w14:paraId="44FF6BDD" w14:textId="294CE36E" w:rsidR="00490D1D" w:rsidRDefault="00954D5B" w:rsidP="00C5362C">
      <w:pPr>
        <w:pStyle w:val="ListParagraph"/>
        <w:numPr>
          <w:ilvl w:val="0"/>
          <w:numId w:val="5"/>
        </w:numPr>
        <w:rPr>
          <w:sz w:val="18"/>
          <w:szCs w:val="18"/>
        </w:rPr>
      </w:pPr>
      <w:r>
        <w:rPr>
          <w:sz w:val="18"/>
          <w:szCs w:val="18"/>
        </w:rPr>
        <w:lastRenderedPageBreak/>
        <w:t xml:space="preserve">Bronchiectasis – depends. </w:t>
      </w:r>
      <w:hyperlink r:id="rId24" w:history="1">
        <w:r w:rsidRPr="00490D1D">
          <w:rPr>
            <w:rStyle w:val="Hyperlink"/>
            <w:sz w:val="18"/>
            <w:szCs w:val="18"/>
          </w:rPr>
          <w:t>BTS</w:t>
        </w:r>
      </w:hyperlink>
      <w:r>
        <w:rPr>
          <w:sz w:val="18"/>
          <w:szCs w:val="18"/>
        </w:rPr>
        <w:t xml:space="preserve"> suggest those with (1) prophylactic antibiotics e.g. inhaled antibiotics or azithromycin x3/week (2) chronic pseudomonas infection (3) 3 or more exacerbations/year (4) severe airflow obstruction (see COPD above) or significant breathlessness i.e. </w:t>
      </w:r>
      <w:hyperlink r:id="rId25" w:history="1">
        <w:r w:rsidRPr="00954D5B">
          <w:rPr>
            <w:rStyle w:val="Hyperlink"/>
            <w:sz w:val="18"/>
            <w:szCs w:val="18"/>
          </w:rPr>
          <w:t>MRC 3-5</w:t>
        </w:r>
      </w:hyperlink>
      <w:r>
        <w:rPr>
          <w:sz w:val="18"/>
          <w:szCs w:val="18"/>
        </w:rPr>
        <w:t xml:space="preserve"> </w:t>
      </w:r>
      <w:r w:rsidRPr="00954D5B">
        <w:rPr>
          <w:rFonts w:ascii="Wingdings" w:eastAsia="Wingdings" w:hAnsi="Wingdings" w:cs="Wingdings"/>
          <w:sz w:val="18"/>
          <w:szCs w:val="18"/>
        </w:rPr>
        <w:t>à</w:t>
      </w:r>
      <w:r>
        <w:rPr>
          <w:sz w:val="18"/>
          <w:szCs w:val="18"/>
        </w:rPr>
        <w:t xml:space="preserve"> shield</w:t>
      </w:r>
    </w:p>
    <w:p w14:paraId="05BDB4AD" w14:textId="763881FB" w:rsidR="00954D5B" w:rsidRDefault="00954D5B" w:rsidP="00C5362C">
      <w:pPr>
        <w:pStyle w:val="ListParagraph"/>
        <w:numPr>
          <w:ilvl w:val="0"/>
          <w:numId w:val="5"/>
        </w:numPr>
        <w:rPr>
          <w:sz w:val="18"/>
          <w:szCs w:val="18"/>
        </w:rPr>
      </w:pPr>
      <w:r>
        <w:rPr>
          <w:sz w:val="18"/>
          <w:szCs w:val="18"/>
        </w:rPr>
        <w:t xml:space="preserve">Long term ventilation </w:t>
      </w:r>
      <w:r w:rsidRPr="00954D5B">
        <w:rPr>
          <w:rFonts w:ascii="Wingdings" w:eastAsia="Wingdings" w:hAnsi="Wingdings" w:cs="Wingdings"/>
          <w:sz w:val="18"/>
          <w:szCs w:val="18"/>
        </w:rPr>
        <w:t>à</w:t>
      </w:r>
      <w:r>
        <w:rPr>
          <w:sz w:val="18"/>
          <w:szCs w:val="18"/>
        </w:rPr>
        <w:t xml:space="preserve"> shield</w:t>
      </w:r>
    </w:p>
    <w:p w14:paraId="70DF60AF" w14:textId="1F1EDA1A" w:rsidR="00954D5B" w:rsidRDefault="00954D5B" w:rsidP="00C5362C">
      <w:pPr>
        <w:pStyle w:val="ListParagraph"/>
        <w:numPr>
          <w:ilvl w:val="0"/>
          <w:numId w:val="5"/>
        </w:numPr>
        <w:rPr>
          <w:sz w:val="18"/>
          <w:szCs w:val="18"/>
        </w:rPr>
      </w:pPr>
      <w:r>
        <w:rPr>
          <w:sz w:val="18"/>
          <w:szCs w:val="18"/>
        </w:rPr>
        <w:t xml:space="preserve">CPAP users (sleep apnoea) </w:t>
      </w:r>
      <w:r w:rsidRPr="00954D5B">
        <w:rPr>
          <w:rFonts w:ascii="Wingdings" w:eastAsia="Wingdings" w:hAnsi="Wingdings" w:cs="Wingdings"/>
          <w:sz w:val="18"/>
          <w:szCs w:val="18"/>
        </w:rPr>
        <w:t>à</w:t>
      </w:r>
      <w:r>
        <w:rPr>
          <w:sz w:val="18"/>
          <w:szCs w:val="18"/>
        </w:rPr>
        <w:t xml:space="preserve"> social distancing (</w:t>
      </w:r>
      <w:hyperlink r:id="rId26" w:history="1">
        <w:r w:rsidRPr="00954D5B">
          <w:rPr>
            <w:rStyle w:val="Hyperlink"/>
            <w:sz w:val="18"/>
            <w:szCs w:val="18"/>
          </w:rPr>
          <w:t>useful BTS/OSA joint statement</w:t>
        </w:r>
      </w:hyperlink>
      <w:r>
        <w:rPr>
          <w:sz w:val="18"/>
          <w:szCs w:val="18"/>
        </w:rPr>
        <w:t>)</w:t>
      </w:r>
    </w:p>
    <w:p w14:paraId="7DA1DE53" w14:textId="5775E6AE" w:rsidR="00954D5B" w:rsidRPr="00C5362C" w:rsidRDefault="00954D5B" w:rsidP="00C5362C">
      <w:pPr>
        <w:pStyle w:val="ListParagraph"/>
        <w:numPr>
          <w:ilvl w:val="0"/>
          <w:numId w:val="5"/>
        </w:numPr>
        <w:rPr>
          <w:sz w:val="18"/>
          <w:szCs w:val="18"/>
        </w:rPr>
      </w:pPr>
      <w:r>
        <w:rPr>
          <w:sz w:val="18"/>
          <w:szCs w:val="18"/>
        </w:rPr>
        <w:t xml:space="preserve">Pulmonary Hypertension </w:t>
      </w:r>
      <w:r w:rsidRPr="00954D5B">
        <w:rPr>
          <w:rFonts w:ascii="Wingdings" w:eastAsia="Wingdings" w:hAnsi="Wingdings" w:cs="Wingdings"/>
          <w:sz w:val="18"/>
          <w:szCs w:val="18"/>
        </w:rPr>
        <w:t>à</w:t>
      </w:r>
      <w:r>
        <w:rPr>
          <w:sz w:val="18"/>
          <w:szCs w:val="18"/>
        </w:rPr>
        <w:t xml:space="preserve"> shield</w:t>
      </w:r>
    </w:p>
    <w:p w14:paraId="13375492" w14:textId="38989522" w:rsidR="00490D1D" w:rsidRDefault="00490D1D" w:rsidP="004344C7">
      <w:pPr>
        <w:rPr>
          <w:sz w:val="18"/>
          <w:szCs w:val="18"/>
        </w:rPr>
      </w:pPr>
    </w:p>
    <w:p w14:paraId="509E1D6B" w14:textId="1E1A2159" w:rsidR="00540E0D" w:rsidRDefault="00540E0D" w:rsidP="004344C7">
      <w:pPr>
        <w:rPr>
          <w:b/>
          <w:sz w:val="18"/>
          <w:szCs w:val="18"/>
        </w:rPr>
      </w:pPr>
      <w:r w:rsidRPr="00540E0D">
        <w:rPr>
          <w:b/>
          <w:sz w:val="18"/>
          <w:szCs w:val="18"/>
        </w:rPr>
        <w:t>Heart Disease</w:t>
      </w:r>
    </w:p>
    <w:p w14:paraId="6B7E144B" w14:textId="0C3FB1F3" w:rsidR="00374029" w:rsidRDefault="00374029" w:rsidP="004344C7">
      <w:pPr>
        <w:rPr>
          <w:b/>
          <w:sz w:val="18"/>
          <w:szCs w:val="18"/>
        </w:rPr>
      </w:pPr>
    </w:p>
    <w:p w14:paraId="6C9FCE63" w14:textId="1C46FF7C" w:rsidR="00374029" w:rsidRDefault="00374029" w:rsidP="004344C7">
      <w:pPr>
        <w:rPr>
          <w:sz w:val="18"/>
          <w:szCs w:val="18"/>
        </w:rPr>
      </w:pPr>
      <w:r w:rsidRPr="00374029">
        <w:rPr>
          <w:sz w:val="18"/>
          <w:szCs w:val="18"/>
        </w:rPr>
        <w:t xml:space="preserve">The </w:t>
      </w:r>
      <w:hyperlink r:id="rId27" w:history="1">
        <w:r w:rsidRPr="00374029">
          <w:rPr>
            <w:rStyle w:val="Hyperlink"/>
            <w:sz w:val="18"/>
            <w:szCs w:val="18"/>
          </w:rPr>
          <w:t>British Heart Foundation (BHF)</w:t>
        </w:r>
      </w:hyperlink>
      <w:r>
        <w:rPr>
          <w:sz w:val="18"/>
          <w:szCs w:val="18"/>
        </w:rPr>
        <w:t xml:space="preserve"> say shield if (1) heart transplant or (2) pregnant + symptomatic IHD or HCM (if affecting function) or LVH (2</w:t>
      </w:r>
      <w:r w:rsidRPr="00374029">
        <w:rPr>
          <w:sz w:val="18"/>
          <w:szCs w:val="18"/>
          <w:vertAlign w:val="superscript"/>
        </w:rPr>
        <w:t>y</w:t>
      </w:r>
      <w:r>
        <w:rPr>
          <w:sz w:val="18"/>
          <w:szCs w:val="18"/>
        </w:rPr>
        <w:t xml:space="preserve"> to </w:t>
      </w:r>
      <w:r>
        <w:rPr>
          <w:rFonts w:cstheme="minorHAnsi"/>
          <w:sz w:val="18"/>
          <w:szCs w:val="18"/>
        </w:rPr>
        <w:t>↑</w:t>
      </w:r>
      <w:r>
        <w:rPr>
          <w:sz w:val="18"/>
          <w:szCs w:val="18"/>
        </w:rPr>
        <w:t>BP) or PAH or a moderate/severe leaking or stenosed valve or LV dysfunction or significant congenital heart disease).</w:t>
      </w:r>
      <w:r>
        <w:rPr>
          <w:sz w:val="18"/>
          <w:szCs w:val="18"/>
        </w:rPr>
        <w:br/>
      </w:r>
    </w:p>
    <w:p w14:paraId="6AC3E933" w14:textId="4FB67913" w:rsidR="00374029" w:rsidRDefault="00374029" w:rsidP="004344C7">
      <w:pPr>
        <w:rPr>
          <w:sz w:val="18"/>
          <w:szCs w:val="18"/>
        </w:rPr>
      </w:pPr>
      <w:r>
        <w:rPr>
          <w:sz w:val="18"/>
          <w:szCs w:val="18"/>
        </w:rPr>
        <w:t xml:space="preserve">For all other patients with heart disease – social distancing / avoid </w:t>
      </w:r>
      <w:proofErr w:type="spellStart"/>
      <w:proofErr w:type="gramStart"/>
      <w:r>
        <w:rPr>
          <w:sz w:val="18"/>
          <w:szCs w:val="18"/>
        </w:rPr>
        <w:t>non essential</w:t>
      </w:r>
      <w:proofErr w:type="spellEnd"/>
      <w:proofErr w:type="gramEnd"/>
      <w:r>
        <w:rPr>
          <w:sz w:val="18"/>
          <w:szCs w:val="18"/>
        </w:rPr>
        <w:t xml:space="preserve"> risk. More so with </w:t>
      </w:r>
      <w:r w:rsidRPr="00374029">
        <w:rPr>
          <w:sz w:val="18"/>
          <w:szCs w:val="18"/>
          <w:u w:val="single"/>
        </w:rPr>
        <w:t>symptomatic</w:t>
      </w:r>
      <w:r>
        <w:rPr>
          <w:sz w:val="18"/>
          <w:szCs w:val="18"/>
        </w:rPr>
        <w:t xml:space="preserve"> IHD or valvular heart disease, or cardiomyopathy.</w:t>
      </w:r>
      <w:r>
        <w:rPr>
          <w:sz w:val="18"/>
          <w:szCs w:val="18"/>
        </w:rPr>
        <w:br/>
      </w:r>
    </w:p>
    <w:p w14:paraId="7BAD0BA8" w14:textId="49259C01" w:rsidR="00540E0D" w:rsidRDefault="00BD6919" w:rsidP="004344C7">
      <w:pPr>
        <w:rPr>
          <w:sz w:val="18"/>
          <w:szCs w:val="18"/>
        </w:rPr>
      </w:pPr>
      <w:r>
        <w:rPr>
          <w:sz w:val="18"/>
          <w:szCs w:val="18"/>
        </w:rPr>
        <w:t xml:space="preserve">Heart failure </w:t>
      </w:r>
      <w:r w:rsidRPr="00BD6919">
        <w:rPr>
          <w:rFonts w:ascii="Wingdings" w:eastAsia="Wingdings" w:hAnsi="Wingdings" w:cs="Wingdings"/>
          <w:sz w:val="18"/>
          <w:szCs w:val="18"/>
        </w:rPr>
        <w:t>à</w:t>
      </w:r>
      <w:r>
        <w:rPr>
          <w:sz w:val="18"/>
          <w:szCs w:val="18"/>
        </w:rPr>
        <w:t xml:space="preserve"> social distancing / avoid </w:t>
      </w:r>
      <w:proofErr w:type="spellStart"/>
      <w:proofErr w:type="gramStart"/>
      <w:r>
        <w:rPr>
          <w:sz w:val="18"/>
          <w:szCs w:val="18"/>
        </w:rPr>
        <w:t>non essential</w:t>
      </w:r>
      <w:proofErr w:type="spellEnd"/>
      <w:proofErr w:type="gramEnd"/>
      <w:r>
        <w:rPr>
          <w:sz w:val="18"/>
          <w:szCs w:val="18"/>
        </w:rPr>
        <w:t xml:space="preserve"> risk. No guidance found to suggest greater risk at specific ejection fraction levels.</w:t>
      </w:r>
      <w:r>
        <w:rPr>
          <w:sz w:val="18"/>
          <w:szCs w:val="18"/>
        </w:rPr>
        <w:br/>
      </w:r>
      <w:r>
        <w:rPr>
          <w:sz w:val="18"/>
          <w:szCs w:val="18"/>
        </w:rPr>
        <w:br/>
        <w:t>Basically – unless heart transplant or pregnancy, severity of symptoms should guide level of caution but social distancing rather than formal shielding.</w:t>
      </w:r>
      <w:r>
        <w:rPr>
          <w:sz w:val="18"/>
          <w:szCs w:val="18"/>
        </w:rPr>
        <w:br/>
      </w:r>
    </w:p>
    <w:p w14:paraId="42DEB57E" w14:textId="37D97625" w:rsidR="00D06F15" w:rsidRDefault="00D06F15" w:rsidP="004344C7">
      <w:pPr>
        <w:rPr>
          <w:b/>
          <w:sz w:val="18"/>
          <w:szCs w:val="18"/>
        </w:rPr>
      </w:pPr>
      <w:r w:rsidRPr="00D06F15">
        <w:rPr>
          <w:b/>
          <w:sz w:val="18"/>
          <w:szCs w:val="18"/>
        </w:rPr>
        <w:t>Severe Single Organ Disease</w:t>
      </w:r>
    </w:p>
    <w:p w14:paraId="2C962C47" w14:textId="4E57205B" w:rsidR="00D06F15" w:rsidRDefault="00D06F15" w:rsidP="004344C7">
      <w:pPr>
        <w:rPr>
          <w:b/>
          <w:sz w:val="18"/>
          <w:szCs w:val="18"/>
        </w:rPr>
      </w:pPr>
    </w:p>
    <w:p w14:paraId="1EC32619" w14:textId="77777777" w:rsidR="00C07557" w:rsidRDefault="00EF0CF1" w:rsidP="004344C7">
      <w:pPr>
        <w:rPr>
          <w:sz w:val="18"/>
          <w:szCs w:val="18"/>
        </w:rPr>
      </w:pPr>
      <w:r w:rsidRPr="00EF0CF1">
        <w:rPr>
          <w:sz w:val="18"/>
          <w:szCs w:val="18"/>
        </w:rPr>
        <w:t>Kidney</w:t>
      </w:r>
      <w:r>
        <w:rPr>
          <w:sz w:val="18"/>
          <w:szCs w:val="18"/>
        </w:rPr>
        <w:t xml:space="preserve"> - </w:t>
      </w:r>
      <w:hyperlink r:id="rId28" w:history="1">
        <w:r w:rsidRPr="00EF0CF1">
          <w:rPr>
            <w:rStyle w:val="Hyperlink"/>
            <w:sz w:val="18"/>
            <w:szCs w:val="18"/>
          </w:rPr>
          <w:t>Kidney Care UK</w:t>
        </w:r>
      </w:hyperlink>
      <w:r>
        <w:rPr>
          <w:sz w:val="18"/>
          <w:szCs w:val="18"/>
        </w:rPr>
        <w:t xml:space="preserve"> say shield if </w:t>
      </w:r>
      <w:r w:rsidR="00FC7771">
        <w:rPr>
          <w:sz w:val="18"/>
          <w:szCs w:val="18"/>
        </w:rPr>
        <w:t>(1) transplant and are immunosuppressed or (2) on dialysis (but in Wales only if ITU admission within last 3y) or (3) inflammatory (autoimmune) renal disease and on specific drugs (see link for list)</w:t>
      </w:r>
      <w:r w:rsidR="00C07557">
        <w:rPr>
          <w:sz w:val="18"/>
          <w:szCs w:val="18"/>
        </w:rPr>
        <w:t xml:space="preserve"> – vasculitis, SLE, Goodpasture’s etc</w:t>
      </w:r>
      <w:r w:rsidR="00C07557">
        <w:rPr>
          <w:sz w:val="18"/>
          <w:szCs w:val="18"/>
        </w:rPr>
        <w:br/>
      </w:r>
    </w:p>
    <w:p w14:paraId="23C28BF9" w14:textId="4C723441" w:rsidR="00D06F15" w:rsidRPr="00D06F15" w:rsidRDefault="00C07557" w:rsidP="00C07557">
      <w:pPr>
        <w:rPr>
          <w:b/>
          <w:sz w:val="18"/>
          <w:szCs w:val="18"/>
        </w:rPr>
      </w:pPr>
      <w:r>
        <w:rPr>
          <w:sz w:val="18"/>
          <w:szCs w:val="18"/>
        </w:rPr>
        <w:t xml:space="preserve">Liver - </w:t>
      </w:r>
      <w:hyperlink r:id="rId29" w:history="1">
        <w:r w:rsidRPr="00C07557">
          <w:rPr>
            <w:rStyle w:val="Hyperlink"/>
            <w:sz w:val="18"/>
            <w:szCs w:val="18"/>
          </w:rPr>
          <w:t>British Liver Trust</w:t>
        </w:r>
      </w:hyperlink>
      <w:r>
        <w:rPr>
          <w:sz w:val="18"/>
          <w:szCs w:val="18"/>
        </w:rPr>
        <w:t xml:space="preserve"> say shield if (1) transplant or (2) autoimmune hepatitis (3) undergoing active chemotherapy, immunotherapy or antibody treatment – should all have been identified / had letter from hospital teams.</w:t>
      </w:r>
    </w:p>
    <w:p w14:paraId="0B1E6370" w14:textId="77777777" w:rsidR="00D06F15" w:rsidRDefault="00D06F15" w:rsidP="004344C7">
      <w:pPr>
        <w:rPr>
          <w:sz w:val="18"/>
          <w:szCs w:val="18"/>
        </w:rPr>
      </w:pPr>
    </w:p>
    <w:p w14:paraId="1FDDC320" w14:textId="77777777" w:rsidR="00490D1D" w:rsidRPr="00490D1D" w:rsidRDefault="00490D1D" w:rsidP="00490D1D">
      <w:pPr>
        <w:rPr>
          <w:b/>
          <w:sz w:val="18"/>
          <w:szCs w:val="18"/>
        </w:rPr>
      </w:pPr>
      <w:r w:rsidRPr="00490D1D">
        <w:rPr>
          <w:b/>
          <w:sz w:val="18"/>
          <w:szCs w:val="18"/>
        </w:rPr>
        <w:t>Sarcoidosis</w:t>
      </w:r>
    </w:p>
    <w:p w14:paraId="47F5AB9A" w14:textId="77777777" w:rsidR="00490D1D" w:rsidRDefault="00490D1D" w:rsidP="00490D1D">
      <w:pPr>
        <w:rPr>
          <w:sz w:val="18"/>
          <w:szCs w:val="18"/>
        </w:rPr>
      </w:pPr>
    </w:p>
    <w:p w14:paraId="65075E78" w14:textId="70C40479" w:rsidR="00490D1D" w:rsidRDefault="00AD4552" w:rsidP="00490D1D">
      <w:pPr>
        <w:rPr>
          <w:rStyle w:val="eop"/>
          <w:rFonts w:ascii="Calibri" w:hAnsi="Calibri" w:cs="Calibri"/>
          <w:color w:val="000000"/>
          <w:sz w:val="18"/>
          <w:szCs w:val="18"/>
          <w:bdr w:val="none" w:sz="0" w:space="0" w:color="auto" w:frame="1"/>
        </w:rPr>
      </w:pPr>
      <w:hyperlink r:id="rId30" w:history="1">
        <w:r w:rsidR="00490D1D" w:rsidRPr="00490D1D">
          <w:rPr>
            <w:rStyle w:val="Hyperlink"/>
            <w:sz w:val="18"/>
            <w:szCs w:val="18"/>
          </w:rPr>
          <w:t>Sarcoidosis UK</w:t>
        </w:r>
      </w:hyperlink>
      <w:r w:rsidR="00490D1D" w:rsidRPr="00490D1D">
        <w:rPr>
          <w:sz w:val="18"/>
          <w:szCs w:val="18"/>
        </w:rPr>
        <w:t xml:space="preserve">  say “</w:t>
      </w:r>
      <w:r w:rsidR="00490D1D" w:rsidRPr="00490D1D">
        <w:rPr>
          <w:rStyle w:val="eop"/>
          <w:rFonts w:ascii="Calibri" w:eastAsiaTheme="majorEastAsia" w:hAnsi="Calibri" w:cs="Calibri"/>
          <w:color w:val="000000"/>
          <w:sz w:val="18"/>
          <w:szCs w:val="18"/>
          <w:bdr w:val="none" w:sz="0" w:space="0" w:color="auto" w:frame="1"/>
        </w:rPr>
        <w:t xml:space="preserve">If you have active pulmonary sarcoidosis, cardiac sarcoidosis or </w:t>
      </w:r>
      <w:proofErr w:type="spellStart"/>
      <w:r w:rsidR="00490D1D" w:rsidRPr="00490D1D">
        <w:rPr>
          <w:rStyle w:val="eop"/>
          <w:rFonts w:ascii="Calibri" w:eastAsiaTheme="majorEastAsia" w:hAnsi="Calibri" w:cs="Calibri"/>
          <w:color w:val="000000"/>
          <w:sz w:val="18"/>
          <w:szCs w:val="18"/>
          <w:bdr w:val="none" w:sz="0" w:space="0" w:color="auto" w:frame="1"/>
        </w:rPr>
        <w:t>neurosarcoidosis</w:t>
      </w:r>
      <w:proofErr w:type="spellEnd"/>
      <w:r w:rsidR="00490D1D" w:rsidRPr="00490D1D">
        <w:rPr>
          <w:rStyle w:val="eop"/>
          <w:rFonts w:ascii="Calibri" w:eastAsiaTheme="majorEastAsia" w:hAnsi="Calibri" w:cs="Calibri"/>
          <w:color w:val="000000"/>
          <w:sz w:val="18"/>
          <w:szCs w:val="18"/>
          <w:bdr w:val="none" w:sz="0" w:space="0" w:color="auto" w:frame="1"/>
        </w:rPr>
        <w:t xml:space="preserve"> then you should be shielding. </w:t>
      </w:r>
      <w:r w:rsidR="00490D1D" w:rsidRPr="00490D1D">
        <w:rPr>
          <w:rStyle w:val="eop"/>
          <w:rFonts w:ascii="Calibri" w:hAnsi="Calibri" w:cs="Calibri"/>
          <w:color w:val="000000"/>
          <w:sz w:val="18"/>
          <w:szCs w:val="18"/>
          <w:bdr w:val="none" w:sz="0" w:space="0" w:color="auto" w:frame="1"/>
        </w:rPr>
        <w:t>If you have another form of sarcoidosis (for instance affecting your skin, eyes, bones, liver or kidneys) and you are taking medication for your sarcoidosis, you should also follow shielding measures. If you have another form of sarcoidosis and you are not taking medication for your sarcoidosis, then you are not required to follow shielding measures.”</w:t>
      </w:r>
      <w:r w:rsidR="00490D1D">
        <w:rPr>
          <w:rStyle w:val="eop"/>
          <w:rFonts w:ascii="Calibri" w:hAnsi="Calibri" w:cs="Calibri"/>
          <w:color w:val="000000"/>
          <w:sz w:val="18"/>
          <w:szCs w:val="18"/>
          <w:bdr w:val="none" w:sz="0" w:space="0" w:color="auto" w:frame="1"/>
        </w:rPr>
        <w:br/>
      </w:r>
    </w:p>
    <w:p w14:paraId="7487BC39" w14:textId="0DE4CE4D" w:rsidR="00C5362C" w:rsidRDefault="00490D1D" w:rsidP="004344C7">
      <w:pPr>
        <w:rPr>
          <w:sz w:val="18"/>
          <w:szCs w:val="18"/>
        </w:rPr>
      </w:pPr>
      <w:r>
        <w:rPr>
          <w:rStyle w:val="eop"/>
          <w:rFonts w:ascii="Calibri" w:hAnsi="Calibri" w:cs="Calibri"/>
          <w:color w:val="000000"/>
          <w:sz w:val="18"/>
          <w:szCs w:val="18"/>
          <w:bdr w:val="none" w:sz="0" w:space="0" w:color="auto" w:frame="1"/>
        </w:rPr>
        <w:t>Remission – will depend on site and severity (and last flare may have been 20</w:t>
      </w:r>
      <w:r w:rsidRPr="00490D1D">
        <w:rPr>
          <w:rStyle w:val="eop"/>
          <w:rFonts w:ascii="Calibri" w:hAnsi="Calibri" w:cs="Calibri"/>
          <w:color w:val="000000"/>
          <w:sz w:val="18"/>
          <w:szCs w:val="18"/>
          <w:bdr w:val="none" w:sz="0" w:space="0" w:color="auto" w:frame="1"/>
          <w:vertAlign w:val="superscript"/>
        </w:rPr>
        <w:t>+</w:t>
      </w:r>
      <w:r>
        <w:rPr>
          <w:rStyle w:val="eop"/>
          <w:rFonts w:ascii="Calibri" w:hAnsi="Calibri" w:cs="Calibri"/>
          <w:color w:val="000000"/>
          <w:sz w:val="18"/>
          <w:szCs w:val="18"/>
          <w:bdr w:val="none" w:sz="0" w:space="0" w:color="auto" w:frame="1"/>
        </w:rPr>
        <w:t xml:space="preserve"> years ago) – social distancing and extreme care recommended but active shielding no (unless definite heart/lung damage).</w:t>
      </w:r>
    </w:p>
    <w:p w14:paraId="3FB328B7" w14:textId="77777777" w:rsidR="00C5362C" w:rsidRDefault="00C5362C" w:rsidP="004344C7">
      <w:pPr>
        <w:rPr>
          <w:sz w:val="18"/>
          <w:szCs w:val="18"/>
        </w:rPr>
      </w:pPr>
    </w:p>
    <w:p w14:paraId="33325C99" w14:textId="4F722A32" w:rsidR="002D4EEC" w:rsidRDefault="0053266A" w:rsidP="0FB0BDF4">
      <w:pPr>
        <w:rPr>
          <w:b/>
          <w:bCs/>
          <w:sz w:val="18"/>
          <w:szCs w:val="18"/>
        </w:rPr>
      </w:pPr>
      <w:r w:rsidRPr="0FB0BDF4">
        <w:rPr>
          <w:b/>
          <w:bCs/>
          <w:sz w:val="18"/>
          <w:szCs w:val="18"/>
        </w:rPr>
        <w:t>Neurological Conditions</w:t>
      </w:r>
      <w:r>
        <w:br/>
      </w:r>
    </w:p>
    <w:p w14:paraId="32D1A76B" w14:textId="12221733" w:rsidR="08D8BAE7" w:rsidRDefault="08D8BAE7" w:rsidP="0FB0BDF4">
      <w:pPr>
        <w:rPr>
          <w:rFonts w:ascii="Calibri" w:eastAsia="Calibri" w:hAnsi="Calibri" w:cs="Calibri"/>
          <w:sz w:val="18"/>
          <w:szCs w:val="18"/>
        </w:rPr>
      </w:pPr>
      <w:r w:rsidRPr="0FB0BDF4">
        <w:rPr>
          <w:rFonts w:ascii="Calibri" w:eastAsia="Calibri" w:hAnsi="Calibri" w:cs="Calibri"/>
          <w:sz w:val="18"/>
          <w:szCs w:val="18"/>
        </w:rPr>
        <w:t xml:space="preserve">The </w:t>
      </w:r>
      <w:hyperlink r:id="rId31">
        <w:r w:rsidRPr="0FB0BDF4">
          <w:rPr>
            <w:rStyle w:val="Hyperlink"/>
            <w:rFonts w:ascii="Calibri" w:eastAsia="Calibri" w:hAnsi="Calibri" w:cs="Calibri"/>
            <w:sz w:val="18"/>
            <w:szCs w:val="18"/>
          </w:rPr>
          <w:t>Association of British Neurologists</w:t>
        </w:r>
        <w:r w:rsidR="4EFBD5B2" w:rsidRPr="0FB0BDF4">
          <w:rPr>
            <w:rStyle w:val="Hyperlink"/>
            <w:rFonts w:ascii="Calibri" w:eastAsia="Calibri" w:hAnsi="Calibri" w:cs="Calibri"/>
            <w:sz w:val="18"/>
            <w:szCs w:val="18"/>
          </w:rPr>
          <w:t xml:space="preserve"> (ABN)</w:t>
        </w:r>
      </w:hyperlink>
      <w:r w:rsidRPr="0FB0BDF4">
        <w:rPr>
          <w:rFonts w:ascii="Calibri" w:eastAsia="Calibri" w:hAnsi="Calibri" w:cs="Calibri"/>
          <w:sz w:val="18"/>
          <w:szCs w:val="18"/>
        </w:rPr>
        <w:t xml:space="preserve"> has an excellent guide (9.4.20) covering a number of neurological conditions. The concerns are generally as</w:t>
      </w:r>
      <w:r w:rsidR="39CF959F" w:rsidRPr="0FB0BDF4">
        <w:rPr>
          <w:rFonts w:ascii="Calibri" w:eastAsia="Calibri" w:hAnsi="Calibri" w:cs="Calibri"/>
          <w:sz w:val="18"/>
          <w:szCs w:val="18"/>
        </w:rPr>
        <w:t xml:space="preserve"> expected from the CMO list – those with an impaired immune response and those with impaired respiratory function.</w:t>
      </w:r>
    </w:p>
    <w:p w14:paraId="4383FD8A" w14:textId="67EC02E4" w:rsidR="0FB0BDF4" w:rsidRDefault="0FB0BDF4" w:rsidP="0FB0BDF4"/>
    <w:p w14:paraId="69C9AAEF" w14:textId="18BB7AB8" w:rsidR="0053266A" w:rsidRDefault="00AD4552" w:rsidP="0FB0BDF4">
      <w:pPr>
        <w:rPr>
          <w:rFonts w:cstheme="minorBidi"/>
          <w:b/>
          <w:bCs/>
          <w:sz w:val="18"/>
          <w:szCs w:val="18"/>
        </w:rPr>
      </w:pPr>
      <w:hyperlink r:id="rId32" w:history="1">
        <w:r w:rsidR="0053266A" w:rsidRPr="0FB0BDF4">
          <w:rPr>
            <w:rStyle w:val="Hyperlink"/>
            <w:rFonts w:cstheme="minorBidi"/>
            <w:b/>
            <w:bCs/>
            <w:sz w:val="18"/>
            <w:szCs w:val="18"/>
          </w:rPr>
          <w:t>Parkinson's UK</w:t>
        </w:r>
      </w:hyperlink>
      <w:r w:rsidR="0053266A" w:rsidRPr="0FB0BDF4">
        <w:rPr>
          <w:rFonts w:cstheme="minorBidi"/>
          <w:b/>
          <w:bCs/>
          <w:sz w:val="18"/>
          <w:szCs w:val="18"/>
        </w:rPr>
        <w:t xml:space="preserve"> – “</w:t>
      </w:r>
      <w:r w:rsidR="0053266A" w:rsidRPr="0FB0BDF4">
        <w:rPr>
          <w:rFonts w:cstheme="minorBidi"/>
          <w:color w:val="01011C"/>
          <w:sz w:val="18"/>
          <w:szCs w:val="18"/>
          <w:shd w:val="clear" w:color="auto" w:fill="EEF3F8"/>
        </w:rPr>
        <w:t>While the government has said people with Parkinson's have an increased risk of complications if they get coronavirus, having Parkinson’s itself does not put you in the extremely vulnerable group. The advice for people with Parkinson’s is the same for most other people, to </w:t>
      </w:r>
      <w:r w:rsidR="0053266A" w:rsidRPr="0FB0BDF4">
        <w:rPr>
          <w:rStyle w:val="Strong"/>
          <w:rFonts w:cstheme="minorBidi"/>
          <w:color w:val="01011C"/>
          <w:sz w:val="18"/>
          <w:szCs w:val="18"/>
          <w:shd w:val="clear" w:color="auto" w:fill="EEF3F8"/>
        </w:rPr>
        <w:t>stay at home</w:t>
      </w:r>
      <w:r w:rsidR="0053266A" w:rsidRPr="0FB0BDF4">
        <w:rPr>
          <w:rFonts w:cstheme="minorBidi"/>
          <w:color w:val="01011C"/>
          <w:sz w:val="18"/>
          <w:szCs w:val="18"/>
          <w:shd w:val="clear" w:color="auto" w:fill="EEF3F8"/>
        </w:rPr>
        <w:t>.</w:t>
      </w:r>
      <w:r w:rsidR="0053266A" w:rsidRPr="0FB0BDF4">
        <w:rPr>
          <w:rFonts w:cstheme="minorBidi"/>
          <w:b/>
          <w:bCs/>
          <w:sz w:val="18"/>
          <w:szCs w:val="18"/>
        </w:rPr>
        <w:t>”</w:t>
      </w:r>
    </w:p>
    <w:p w14:paraId="742E0D05" w14:textId="0E06DB19" w:rsidR="000E0E68" w:rsidRDefault="0053266A" w:rsidP="0FB0BDF4">
      <w:pPr>
        <w:pStyle w:val="NormalWeb"/>
        <w:rPr>
          <w:rFonts w:asciiTheme="minorHAnsi" w:hAnsiTheme="minorHAnsi" w:cstheme="minorBidi"/>
          <w:b/>
          <w:bCs/>
          <w:sz w:val="18"/>
          <w:szCs w:val="18"/>
        </w:rPr>
      </w:pPr>
      <w:r w:rsidRPr="0FB0BDF4">
        <w:rPr>
          <w:rFonts w:asciiTheme="minorHAnsi" w:hAnsiTheme="minorHAnsi" w:cstheme="minorBidi"/>
          <w:b/>
          <w:bCs/>
          <w:sz w:val="18"/>
          <w:szCs w:val="18"/>
        </w:rPr>
        <w:t xml:space="preserve">The </w:t>
      </w:r>
      <w:hyperlink r:id="rId33" w:history="1">
        <w:r w:rsidRPr="0FB0BDF4">
          <w:rPr>
            <w:rStyle w:val="Hyperlink"/>
            <w:rFonts w:asciiTheme="minorHAnsi" w:hAnsiTheme="minorHAnsi" w:cstheme="minorBidi"/>
            <w:b/>
            <w:bCs/>
            <w:sz w:val="18"/>
            <w:szCs w:val="18"/>
          </w:rPr>
          <w:t>MS Society</w:t>
        </w:r>
      </w:hyperlink>
      <w:r w:rsidRPr="0FB0BDF4">
        <w:rPr>
          <w:rFonts w:asciiTheme="minorHAnsi" w:hAnsiTheme="minorHAnsi" w:cstheme="minorBidi"/>
          <w:b/>
          <w:bCs/>
          <w:sz w:val="18"/>
          <w:szCs w:val="18"/>
        </w:rPr>
        <w:t xml:space="preserve"> – “</w:t>
      </w:r>
      <w:r w:rsidRPr="0FB0BDF4">
        <w:rPr>
          <w:rFonts w:asciiTheme="minorHAnsi" w:hAnsiTheme="minorHAnsi" w:cstheme="minorBidi"/>
          <w:color w:val="3A3A3A"/>
          <w:spacing w:val="-5"/>
          <w:sz w:val="18"/>
          <w:szCs w:val="18"/>
        </w:rPr>
        <w:t>You're considered to be </w:t>
      </w:r>
      <w:r w:rsidRPr="0FB0BDF4">
        <w:rPr>
          <w:rFonts w:asciiTheme="minorHAnsi" w:hAnsiTheme="minorHAnsi" w:cstheme="minorBidi"/>
          <w:b/>
          <w:bCs/>
          <w:color w:val="3A3A3A"/>
          <w:spacing w:val="-5"/>
          <w:sz w:val="18"/>
          <w:szCs w:val="18"/>
        </w:rPr>
        <w:t>extremely vulnerable</w:t>
      </w:r>
      <w:r w:rsidRPr="0FB0BDF4">
        <w:rPr>
          <w:rFonts w:asciiTheme="minorHAnsi" w:hAnsiTheme="minorHAnsi" w:cstheme="minorBidi"/>
          <w:color w:val="3A3A3A"/>
          <w:spacing w:val="-5"/>
          <w:sz w:val="18"/>
          <w:szCs w:val="18"/>
        </w:rPr>
        <w:t> or high risk if you: you have significant difficulties with breathing or swallowing (for instance if you need artificial feeding), have taken alemtuzumab (Lemtrada) or cladribine (</w:t>
      </w:r>
      <w:proofErr w:type="spellStart"/>
      <w:r w:rsidRPr="0FB0BDF4">
        <w:rPr>
          <w:rFonts w:asciiTheme="minorHAnsi" w:hAnsiTheme="minorHAnsi" w:cstheme="minorBidi"/>
          <w:color w:val="3A3A3A"/>
          <w:spacing w:val="-5"/>
          <w:sz w:val="18"/>
          <w:szCs w:val="18"/>
        </w:rPr>
        <w:t>Mavenclad</w:t>
      </w:r>
      <w:proofErr w:type="spellEnd"/>
      <w:r w:rsidRPr="0FB0BDF4">
        <w:rPr>
          <w:rFonts w:asciiTheme="minorHAnsi" w:hAnsiTheme="minorHAnsi" w:cstheme="minorBidi"/>
          <w:color w:val="3A3A3A"/>
          <w:spacing w:val="-5"/>
          <w:sz w:val="18"/>
          <w:szCs w:val="18"/>
        </w:rPr>
        <w:t xml:space="preserve">) within the last 12 weeks, have had HSCT treatment in the last 12 months. If you're self-isolating because of a recent course of alemtuzumab or cladribine, you generally will only need to self-isolate up to 12 weeks from the date of your course. </w:t>
      </w:r>
      <w:proofErr w:type="gramStart"/>
      <w:r w:rsidRPr="0FB0BDF4">
        <w:rPr>
          <w:rFonts w:asciiTheme="minorHAnsi" w:hAnsiTheme="minorHAnsi" w:cstheme="minorBidi"/>
          <w:color w:val="3A3A3A"/>
          <w:spacing w:val="-5"/>
          <w:sz w:val="18"/>
          <w:szCs w:val="18"/>
        </w:rPr>
        <w:t>So</w:t>
      </w:r>
      <w:proofErr w:type="gramEnd"/>
      <w:r w:rsidRPr="0FB0BDF4">
        <w:rPr>
          <w:rFonts w:asciiTheme="minorHAnsi" w:hAnsiTheme="minorHAnsi" w:cstheme="minorBidi"/>
          <w:color w:val="3A3A3A"/>
          <w:spacing w:val="-5"/>
          <w:sz w:val="18"/>
          <w:szCs w:val="18"/>
        </w:rPr>
        <w:t xml:space="preserve"> for example if you had an infusion of alemtuzumab 8 weeks ago, you should self-isolate for another 4 weeks. If you are self-isolating because of HSCT, you should discuss the period of time with your transplant team as they may recommend longer.</w:t>
      </w:r>
      <w:r w:rsidRPr="0FB0BDF4">
        <w:rPr>
          <w:rFonts w:asciiTheme="minorHAnsi" w:hAnsiTheme="minorHAnsi" w:cstheme="minorBidi"/>
          <w:b/>
          <w:bCs/>
          <w:sz w:val="18"/>
          <w:szCs w:val="18"/>
        </w:rPr>
        <w:t>”</w:t>
      </w:r>
    </w:p>
    <w:p w14:paraId="38908A44" w14:textId="3810053B" w:rsidR="0053266A" w:rsidRDefault="000E0E68" w:rsidP="0FB0BDF4">
      <w:pPr>
        <w:pStyle w:val="NormalWeb"/>
        <w:rPr>
          <w:rFonts w:asciiTheme="minorHAnsi" w:hAnsiTheme="minorHAnsi" w:cstheme="minorBidi"/>
          <w:sz w:val="18"/>
          <w:szCs w:val="18"/>
        </w:rPr>
      </w:pPr>
      <w:r w:rsidRPr="0FB0BDF4">
        <w:rPr>
          <w:rFonts w:asciiTheme="minorHAnsi" w:hAnsiTheme="minorHAnsi" w:cstheme="minorBidi"/>
          <w:sz w:val="18"/>
          <w:szCs w:val="18"/>
        </w:rPr>
        <w:t xml:space="preserve">The </w:t>
      </w:r>
      <w:hyperlink r:id="rId34">
        <w:r w:rsidRPr="0FB0BDF4">
          <w:rPr>
            <w:rStyle w:val="Hyperlink"/>
            <w:rFonts w:asciiTheme="minorHAnsi" w:hAnsiTheme="minorHAnsi" w:cstheme="minorBidi"/>
            <w:b/>
            <w:bCs/>
            <w:sz w:val="18"/>
            <w:szCs w:val="18"/>
          </w:rPr>
          <w:t>Motor Neurone Disease Association</w:t>
        </w:r>
      </w:hyperlink>
      <w:r w:rsidRPr="0FB0BDF4">
        <w:rPr>
          <w:rFonts w:asciiTheme="minorHAnsi" w:hAnsiTheme="minorHAnsi" w:cstheme="minorBidi"/>
          <w:b/>
          <w:bCs/>
          <w:sz w:val="18"/>
          <w:szCs w:val="18"/>
        </w:rPr>
        <w:t xml:space="preserve"> </w:t>
      </w:r>
      <w:r w:rsidR="00DB0ECC" w:rsidRPr="0FB0BDF4">
        <w:rPr>
          <w:rFonts w:asciiTheme="minorHAnsi" w:hAnsiTheme="minorHAnsi" w:cstheme="minorBidi"/>
          <w:sz w:val="18"/>
          <w:szCs w:val="18"/>
        </w:rPr>
        <w:t>say</w:t>
      </w:r>
      <w:r w:rsidR="00DB0ECC" w:rsidRPr="0FB0BDF4">
        <w:rPr>
          <w:rFonts w:asciiTheme="minorHAnsi" w:hAnsiTheme="minorHAnsi" w:cstheme="minorBidi"/>
          <w:b/>
          <w:bCs/>
          <w:sz w:val="18"/>
          <w:szCs w:val="18"/>
        </w:rPr>
        <w:t xml:space="preserve"> </w:t>
      </w:r>
      <w:r w:rsidR="00DB0ECC" w:rsidRPr="0FB0BDF4">
        <w:rPr>
          <w:rFonts w:asciiTheme="minorHAnsi" w:hAnsiTheme="minorHAnsi" w:cstheme="minorBidi"/>
          <w:sz w:val="18"/>
          <w:szCs w:val="18"/>
        </w:rPr>
        <w:t>shield as</w:t>
      </w:r>
      <w:r w:rsidR="00DB0ECC" w:rsidRPr="0FB0BDF4">
        <w:rPr>
          <w:rFonts w:asciiTheme="minorHAnsi" w:hAnsiTheme="minorHAnsi" w:cstheme="minorBidi"/>
          <w:b/>
          <w:bCs/>
          <w:sz w:val="18"/>
          <w:szCs w:val="18"/>
        </w:rPr>
        <w:t xml:space="preserve"> </w:t>
      </w:r>
      <w:r w:rsidR="00DB0ECC" w:rsidRPr="0FB0BDF4">
        <w:rPr>
          <w:rFonts w:asciiTheme="minorHAnsi" w:hAnsiTheme="minorHAnsi" w:cstheme="minorBidi"/>
          <w:sz w:val="18"/>
          <w:szCs w:val="18"/>
        </w:rPr>
        <w:t>“severe respiratory disease” – we’d agree under category 4 (severe neurological disease).</w:t>
      </w:r>
    </w:p>
    <w:p w14:paraId="12A040FE" w14:textId="5F05DA0B" w:rsidR="0053266A" w:rsidRPr="00E63D5B" w:rsidRDefault="00AD4552" w:rsidP="0053266A">
      <w:pPr>
        <w:pStyle w:val="NormalWeb"/>
        <w:rPr>
          <w:rFonts w:asciiTheme="minorHAnsi" w:eastAsiaTheme="minorEastAsia" w:hAnsiTheme="minorHAnsi" w:cstheme="minorBidi"/>
          <w:sz w:val="18"/>
          <w:szCs w:val="18"/>
        </w:rPr>
      </w:pPr>
      <w:hyperlink r:id="rId35">
        <w:r w:rsidR="133F4CFC" w:rsidRPr="0FB0BDF4">
          <w:rPr>
            <w:rStyle w:val="Hyperlink"/>
            <w:rFonts w:asciiTheme="minorHAnsi" w:eastAsiaTheme="minorEastAsia" w:hAnsiTheme="minorHAnsi" w:cstheme="minorBidi"/>
            <w:sz w:val="18"/>
            <w:szCs w:val="18"/>
          </w:rPr>
          <w:t>Muscular Dystrophy UK</w:t>
        </w:r>
      </w:hyperlink>
      <w:r w:rsidR="133F4CFC" w:rsidRPr="0FB0BDF4">
        <w:rPr>
          <w:rFonts w:asciiTheme="minorHAnsi" w:eastAsiaTheme="minorEastAsia" w:hAnsiTheme="minorHAnsi" w:cstheme="minorBidi"/>
          <w:sz w:val="18"/>
          <w:szCs w:val="18"/>
        </w:rPr>
        <w:t xml:space="preserve"> - say no current recommendation to shield but they are </w:t>
      </w:r>
      <w:r w:rsidR="4EAC9069" w:rsidRPr="0FB0BDF4">
        <w:rPr>
          <w:rFonts w:asciiTheme="minorHAnsi" w:eastAsiaTheme="minorEastAsia" w:hAnsiTheme="minorHAnsi" w:cstheme="minorBidi"/>
          <w:sz w:val="18"/>
          <w:szCs w:val="18"/>
        </w:rPr>
        <w:t xml:space="preserve">seeking </w:t>
      </w:r>
      <w:r w:rsidR="133F4CFC" w:rsidRPr="0FB0BDF4">
        <w:rPr>
          <w:rFonts w:asciiTheme="minorHAnsi" w:eastAsiaTheme="minorEastAsia" w:hAnsiTheme="minorHAnsi" w:cstheme="minorBidi"/>
          <w:sz w:val="18"/>
          <w:szCs w:val="18"/>
        </w:rPr>
        <w:t xml:space="preserve">to change that. If clear </w:t>
      </w:r>
      <w:r w:rsidR="5C8A32DC" w:rsidRPr="0FB0BDF4">
        <w:rPr>
          <w:rFonts w:asciiTheme="minorHAnsi" w:eastAsiaTheme="minorEastAsia" w:hAnsiTheme="minorHAnsi" w:cstheme="minorBidi"/>
          <w:sz w:val="18"/>
          <w:szCs w:val="18"/>
        </w:rPr>
        <w:t>evidence respiratory function compromise / other risk factors ther</w:t>
      </w:r>
      <w:r w:rsidR="002118ED">
        <w:rPr>
          <w:rFonts w:asciiTheme="minorHAnsi" w:eastAsiaTheme="minorEastAsia" w:hAnsiTheme="minorHAnsi" w:cstheme="minorBidi"/>
          <w:sz w:val="18"/>
          <w:szCs w:val="18"/>
        </w:rPr>
        <w:t>e</w:t>
      </w:r>
      <w:r w:rsidR="5C8A32DC" w:rsidRPr="0FB0BDF4">
        <w:rPr>
          <w:rFonts w:asciiTheme="minorHAnsi" w:eastAsiaTheme="minorEastAsia" w:hAnsiTheme="minorHAnsi" w:cstheme="minorBidi"/>
          <w:sz w:val="18"/>
          <w:szCs w:val="18"/>
        </w:rPr>
        <w:t xml:space="preserve"> may be an argument for some patients.</w:t>
      </w:r>
      <w:r w:rsidR="002118ED">
        <w:rPr>
          <w:rFonts w:asciiTheme="minorHAnsi" w:eastAsiaTheme="minorEastAsia" w:hAnsiTheme="minorHAnsi" w:cstheme="minorBidi"/>
          <w:sz w:val="18"/>
          <w:szCs w:val="18"/>
        </w:rPr>
        <w:t xml:space="preserve"> </w:t>
      </w:r>
      <w:hyperlink r:id="rId36">
        <w:r w:rsidR="7D422C29" w:rsidRPr="0FB0BDF4">
          <w:rPr>
            <w:rStyle w:val="Hyperlink"/>
            <w:rFonts w:asciiTheme="minorHAnsi" w:eastAsiaTheme="minorEastAsia" w:hAnsiTheme="minorHAnsi" w:cstheme="minorBidi"/>
            <w:sz w:val="18"/>
            <w:szCs w:val="18"/>
          </w:rPr>
          <w:t>Action Duchenne</w:t>
        </w:r>
      </w:hyperlink>
      <w:r w:rsidR="7D422C29" w:rsidRPr="0FB0BDF4">
        <w:rPr>
          <w:rFonts w:asciiTheme="minorHAnsi" w:eastAsiaTheme="minorEastAsia" w:hAnsiTheme="minorHAnsi" w:cstheme="minorBidi"/>
          <w:sz w:val="18"/>
          <w:szCs w:val="18"/>
        </w:rPr>
        <w:t xml:space="preserve"> </w:t>
      </w:r>
      <w:r w:rsidR="60FB76EE" w:rsidRPr="0FB0BDF4">
        <w:rPr>
          <w:rFonts w:asciiTheme="minorHAnsi" w:eastAsiaTheme="minorEastAsia" w:hAnsiTheme="minorHAnsi" w:cstheme="minorBidi"/>
          <w:sz w:val="18"/>
          <w:szCs w:val="18"/>
        </w:rPr>
        <w:t>reference</w:t>
      </w:r>
      <w:r w:rsidR="174851E8" w:rsidRPr="0FB0BDF4">
        <w:rPr>
          <w:rFonts w:asciiTheme="minorHAnsi" w:eastAsiaTheme="minorEastAsia" w:hAnsiTheme="minorHAnsi" w:cstheme="minorBidi"/>
          <w:sz w:val="18"/>
          <w:szCs w:val="18"/>
        </w:rPr>
        <w:t xml:space="preserve"> the ABN page above.</w:t>
      </w:r>
    </w:p>
    <w:p w14:paraId="7BFCBD11" w14:textId="3BB79DCB" w:rsidR="0053266A" w:rsidRDefault="174851E8" w:rsidP="0FB0BDF4">
      <w:pPr>
        <w:pStyle w:val="NormalWeb"/>
        <w:rPr>
          <w:rFonts w:asciiTheme="minorHAnsi" w:eastAsiaTheme="minorEastAsia" w:hAnsiTheme="minorHAnsi" w:cstheme="minorBidi"/>
          <w:b/>
          <w:bCs/>
          <w:sz w:val="18"/>
          <w:szCs w:val="18"/>
        </w:rPr>
      </w:pPr>
      <w:r w:rsidRPr="0FB0BDF4">
        <w:rPr>
          <w:rFonts w:asciiTheme="minorHAnsi" w:eastAsiaTheme="minorEastAsia" w:hAnsiTheme="minorHAnsi" w:cstheme="minorBidi"/>
          <w:b/>
          <w:bCs/>
          <w:sz w:val="18"/>
          <w:szCs w:val="18"/>
        </w:rPr>
        <w:t>Rheumatological Conditions &amp; Immunosuppression Generally</w:t>
      </w:r>
    </w:p>
    <w:p w14:paraId="567F2401" w14:textId="7FC356DC" w:rsidR="0053266A" w:rsidRDefault="35F88DD4" w:rsidP="0FB0BDF4">
      <w:pPr>
        <w:rPr>
          <w:rFonts w:eastAsiaTheme="minorEastAsia" w:cstheme="minorBidi"/>
          <w:color w:val="231F20"/>
          <w:sz w:val="18"/>
          <w:szCs w:val="18"/>
        </w:rPr>
      </w:pPr>
      <w:r w:rsidRPr="0FB0BDF4">
        <w:rPr>
          <w:rFonts w:eastAsiaTheme="minorEastAsia" w:cstheme="minorBidi"/>
          <w:color w:val="231F20"/>
          <w:sz w:val="18"/>
          <w:szCs w:val="18"/>
        </w:rPr>
        <w:t>Regarding shielding decisions, p</w:t>
      </w:r>
      <w:r w:rsidR="70327591" w:rsidRPr="0FB0BDF4">
        <w:rPr>
          <w:rFonts w:eastAsiaTheme="minorEastAsia" w:cstheme="minorBidi"/>
          <w:color w:val="231F20"/>
          <w:sz w:val="18"/>
          <w:szCs w:val="18"/>
        </w:rPr>
        <w:t xml:space="preserve">robably the clearest guidance is British Rheumatology Society </w:t>
      </w:r>
      <w:hyperlink r:id="rId37">
        <w:r w:rsidR="70327591" w:rsidRPr="0FB0BDF4">
          <w:rPr>
            <w:rStyle w:val="Hyperlink"/>
            <w:rFonts w:eastAsiaTheme="minorEastAsia" w:cstheme="minorBidi"/>
            <w:color w:val="231F20"/>
            <w:sz w:val="18"/>
            <w:szCs w:val="18"/>
          </w:rPr>
          <w:t>covid-19 risk scoring guide</w:t>
        </w:r>
      </w:hyperlink>
      <w:r w:rsidR="70327591" w:rsidRPr="0FB0BDF4">
        <w:rPr>
          <w:rFonts w:eastAsiaTheme="minorEastAsia" w:cstheme="minorBidi"/>
          <w:color w:val="231F20"/>
          <w:sz w:val="18"/>
          <w:szCs w:val="18"/>
        </w:rPr>
        <w:t xml:space="preserve"> and there’s an patient version at </w:t>
      </w:r>
      <w:hyperlink r:id="rId38">
        <w:r w:rsidR="6F02266E" w:rsidRPr="0FB0BDF4">
          <w:rPr>
            <w:rStyle w:val="Hyperlink"/>
            <w:rFonts w:eastAsiaTheme="minorEastAsia" w:cstheme="minorBidi"/>
            <w:color w:val="231F20"/>
            <w:sz w:val="18"/>
            <w:szCs w:val="18"/>
          </w:rPr>
          <w:t>Versus Arthritis</w:t>
        </w:r>
      </w:hyperlink>
      <w:r w:rsidR="6F02266E" w:rsidRPr="0FB0BDF4">
        <w:rPr>
          <w:rFonts w:eastAsiaTheme="minorEastAsia" w:cstheme="minorBidi"/>
          <w:color w:val="231F20"/>
          <w:sz w:val="18"/>
          <w:szCs w:val="18"/>
        </w:rPr>
        <w:t xml:space="preserve"> (adults) and </w:t>
      </w:r>
      <w:r w:rsidR="73DD973F" w:rsidRPr="0FB0BDF4">
        <w:rPr>
          <w:rFonts w:eastAsiaTheme="minorEastAsia" w:cstheme="minorBidi"/>
          <w:color w:val="231F20"/>
          <w:sz w:val="18"/>
          <w:szCs w:val="18"/>
        </w:rPr>
        <w:t xml:space="preserve">BSR / Great Ormond Street  </w:t>
      </w:r>
      <w:hyperlink r:id="rId39">
        <w:r w:rsidR="73DD973F" w:rsidRPr="0FB0BDF4">
          <w:rPr>
            <w:rStyle w:val="Hyperlink"/>
            <w:rFonts w:eastAsiaTheme="minorEastAsia" w:cstheme="minorBidi"/>
            <w:color w:val="231F20"/>
            <w:sz w:val="18"/>
            <w:szCs w:val="18"/>
          </w:rPr>
          <w:t>Guide for Parents &amp; Children</w:t>
        </w:r>
      </w:hyperlink>
      <w:r w:rsidR="73DD973F" w:rsidRPr="0FB0BDF4">
        <w:rPr>
          <w:rFonts w:eastAsiaTheme="minorEastAsia" w:cstheme="minorBidi"/>
          <w:color w:val="231F20"/>
          <w:sz w:val="18"/>
          <w:szCs w:val="18"/>
        </w:rPr>
        <w:t xml:space="preserve"> flowchart which is very clear.</w:t>
      </w:r>
      <w:r w:rsidR="009721B9">
        <w:rPr>
          <w:rFonts w:eastAsiaTheme="minorEastAsia" w:cstheme="minorBidi"/>
          <w:color w:val="231F20"/>
          <w:sz w:val="18"/>
          <w:szCs w:val="18"/>
        </w:rPr>
        <w:br/>
      </w:r>
      <w:r w:rsidR="009721B9">
        <w:rPr>
          <w:rFonts w:eastAsiaTheme="minorEastAsia" w:cstheme="minorBidi"/>
          <w:color w:val="231F20"/>
          <w:sz w:val="18"/>
          <w:szCs w:val="18"/>
        </w:rPr>
        <w:br/>
        <w:t xml:space="preserve">Looking at other condition sites, the definitions and doses look very similar so using this risk score as our guide for all immunosuppression / shielding would be sensible. </w:t>
      </w:r>
      <w:r w:rsidR="009721B9">
        <w:rPr>
          <w:rFonts w:eastAsiaTheme="minorEastAsia" w:cstheme="minorBidi"/>
          <w:color w:val="231F20"/>
          <w:sz w:val="18"/>
          <w:szCs w:val="18"/>
        </w:rPr>
        <w:br/>
      </w:r>
    </w:p>
    <w:p w14:paraId="6EAFE89C" w14:textId="10785FCC" w:rsidR="0053266A" w:rsidRDefault="0053266A" w:rsidP="0FB0BDF4">
      <w:pPr>
        <w:rPr>
          <w:rFonts w:eastAsiaTheme="minorEastAsia" w:cstheme="minorBidi"/>
          <w:sz w:val="18"/>
          <w:szCs w:val="18"/>
        </w:rPr>
      </w:pPr>
    </w:p>
    <w:p w14:paraId="4A740D9B" w14:textId="026BC80C" w:rsidR="002C0FA1" w:rsidRPr="009721B9" w:rsidRDefault="00D0306E" w:rsidP="009721B9">
      <w:pPr>
        <w:rPr>
          <w:rFonts w:eastAsiaTheme="minorEastAsia" w:cstheme="minorBidi"/>
          <w:sz w:val="18"/>
          <w:szCs w:val="18"/>
        </w:rPr>
      </w:pPr>
      <w:r w:rsidRPr="00D0306E">
        <w:rPr>
          <w:sz w:val="18"/>
          <w:szCs w:val="18"/>
        </w:rPr>
        <w:lastRenderedPageBreak/>
        <w:t xml:space="preserve">Not directly on shielding but worth mentioning  - </w:t>
      </w:r>
      <w:hyperlink r:id="rId40">
        <w:r w:rsidR="74923EC2" w:rsidRPr="0FB0BDF4">
          <w:rPr>
            <w:rStyle w:val="Hyperlink"/>
            <w:rFonts w:eastAsiaTheme="minorEastAsia" w:cstheme="minorBidi"/>
            <w:sz w:val="18"/>
            <w:szCs w:val="18"/>
          </w:rPr>
          <w:t>Management of Rheumatology Patients during the coronavirus pandemic</w:t>
        </w:r>
      </w:hyperlink>
      <w:r w:rsidR="74923EC2" w:rsidRPr="0FB0BDF4">
        <w:rPr>
          <w:rFonts w:eastAsiaTheme="minorEastAsia" w:cstheme="minorBidi"/>
          <w:sz w:val="18"/>
          <w:szCs w:val="18"/>
        </w:rPr>
        <w:t xml:space="preserve"> (8.4.20) is useful</w:t>
      </w:r>
      <w:r w:rsidR="5D9E5C3C" w:rsidRPr="0FB0BDF4">
        <w:rPr>
          <w:rFonts w:eastAsiaTheme="minorEastAsia" w:cstheme="minorBidi"/>
          <w:sz w:val="18"/>
          <w:szCs w:val="18"/>
        </w:rPr>
        <w:t xml:space="preserve"> and </w:t>
      </w:r>
      <w:r w:rsidR="57CB8FCE" w:rsidRPr="0FB0BDF4">
        <w:rPr>
          <w:rFonts w:eastAsiaTheme="minorEastAsia" w:cstheme="minorBidi"/>
          <w:sz w:val="18"/>
          <w:szCs w:val="18"/>
        </w:rPr>
        <w:t xml:space="preserve">NICE </w:t>
      </w:r>
      <w:hyperlink r:id="rId41">
        <w:r w:rsidR="57CB8FCE" w:rsidRPr="0FB0BDF4">
          <w:rPr>
            <w:rStyle w:val="Hyperlink"/>
            <w:rFonts w:eastAsiaTheme="minorEastAsia" w:cstheme="minorBidi"/>
            <w:sz w:val="18"/>
            <w:szCs w:val="18"/>
          </w:rPr>
          <w:t>NG167</w:t>
        </w:r>
      </w:hyperlink>
      <w:r w:rsidR="57CB8FCE" w:rsidRPr="0FB0BDF4">
        <w:rPr>
          <w:rFonts w:eastAsiaTheme="minorEastAsia" w:cstheme="minorBidi"/>
          <w:sz w:val="18"/>
          <w:szCs w:val="18"/>
        </w:rPr>
        <w:t xml:space="preserve"> (3.4.20) covers “</w:t>
      </w:r>
      <w:r w:rsidR="57CB8FCE" w:rsidRPr="0FB0BDF4">
        <w:rPr>
          <w:rFonts w:eastAsiaTheme="minorEastAsia" w:cstheme="minorBidi"/>
          <w:color w:val="0E0E0E"/>
          <w:sz w:val="18"/>
          <w:szCs w:val="18"/>
        </w:rPr>
        <w:t>rheumatological autoimmune, inflammatory and metabolic bone disorders”</w:t>
      </w:r>
      <w:r w:rsidR="3133FCD1" w:rsidRPr="0FB0BDF4">
        <w:rPr>
          <w:rFonts w:eastAsiaTheme="minorEastAsia" w:cstheme="minorBidi"/>
          <w:color w:val="0E0E0E"/>
          <w:sz w:val="18"/>
          <w:szCs w:val="18"/>
        </w:rPr>
        <w:t xml:space="preserve"> and reminds that “</w:t>
      </w:r>
      <w:r w:rsidR="3133FCD1" w:rsidRPr="0FB0BDF4">
        <w:rPr>
          <w:color w:val="0E0E0E"/>
          <w:sz w:val="18"/>
          <w:szCs w:val="18"/>
        </w:rPr>
        <w:t>patients having immunosuppressant treatments may have atypical presentations of COVID</w:t>
      </w:r>
      <w:r w:rsidR="3133FCD1" w:rsidRPr="0FB0BDF4">
        <w:rPr>
          <w:rFonts w:ascii="Cambria Math" w:hAnsi="Cambria Math" w:cs="Cambria Math"/>
          <w:color w:val="0E0E0E"/>
          <w:sz w:val="18"/>
          <w:szCs w:val="18"/>
        </w:rPr>
        <w:t>‑</w:t>
      </w:r>
      <w:r w:rsidR="3133FCD1" w:rsidRPr="0FB0BDF4">
        <w:rPr>
          <w:color w:val="0E0E0E"/>
          <w:sz w:val="18"/>
          <w:szCs w:val="18"/>
        </w:rPr>
        <w:t>19. For example, patients taking prednisolone may not develop a fever, and those taking interleukin</w:t>
      </w:r>
      <w:r w:rsidR="3133FCD1" w:rsidRPr="0FB0BDF4">
        <w:rPr>
          <w:rFonts w:ascii="Cambria Math" w:hAnsi="Cambria Math" w:cs="Cambria Math"/>
          <w:color w:val="0E0E0E"/>
          <w:sz w:val="18"/>
          <w:szCs w:val="18"/>
        </w:rPr>
        <w:t>‑</w:t>
      </w:r>
      <w:r w:rsidR="3133FCD1" w:rsidRPr="0FB0BDF4">
        <w:rPr>
          <w:color w:val="0E0E0E"/>
          <w:sz w:val="18"/>
          <w:szCs w:val="18"/>
        </w:rPr>
        <w:t>6 inhibitors may not develop a rise in C</w:t>
      </w:r>
      <w:r w:rsidR="3133FCD1" w:rsidRPr="0FB0BDF4">
        <w:rPr>
          <w:rFonts w:ascii="Cambria Math" w:hAnsi="Cambria Math" w:cs="Cambria Math"/>
          <w:color w:val="0E0E0E"/>
          <w:sz w:val="18"/>
          <w:szCs w:val="18"/>
        </w:rPr>
        <w:t>‑</w:t>
      </w:r>
      <w:r w:rsidR="3133FCD1" w:rsidRPr="0FB0BDF4">
        <w:rPr>
          <w:color w:val="0E0E0E"/>
          <w:sz w:val="18"/>
          <w:szCs w:val="18"/>
        </w:rPr>
        <w:t>reactive protein.”</w:t>
      </w:r>
      <w:r w:rsidR="613909C2" w:rsidRPr="0FB0BDF4">
        <w:rPr>
          <w:color w:val="0E0E0E"/>
          <w:sz w:val="18"/>
          <w:szCs w:val="18"/>
        </w:rPr>
        <w:t xml:space="preserve"> </w:t>
      </w:r>
      <w:r w:rsidR="1F427D56" w:rsidRPr="0FB0BDF4">
        <w:rPr>
          <w:color w:val="0E0E0E"/>
          <w:sz w:val="18"/>
          <w:szCs w:val="18"/>
        </w:rPr>
        <w:t xml:space="preserve">It </w:t>
      </w:r>
      <w:r w:rsidR="613909C2" w:rsidRPr="0FB0BDF4">
        <w:rPr>
          <w:color w:val="0E0E0E"/>
          <w:sz w:val="18"/>
          <w:szCs w:val="18"/>
        </w:rPr>
        <w:t xml:space="preserve">says to continue denosumab but to delay </w:t>
      </w:r>
      <w:proofErr w:type="spellStart"/>
      <w:r w:rsidR="613909C2" w:rsidRPr="0FB0BDF4">
        <w:rPr>
          <w:color w:val="0E0E0E"/>
          <w:sz w:val="18"/>
          <w:szCs w:val="18"/>
        </w:rPr>
        <w:t>zolendronic</w:t>
      </w:r>
      <w:proofErr w:type="spellEnd"/>
      <w:r w:rsidR="613909C2" w:rsidRPr="0FB0BDF4">
        <w:rPr>
          <w:color w:val="0E0E0E"/>
          <w:sz w:val="18"/>
          <w:szCs w:val="18"/>
        </w:rPr>
        <w:t xml:space="preserve"> acid for six months.</w:t>
      </w:r>
      <w:r w:rsidR="0053266A">
        <w:br/>
      </w:r>
      <w:r w:rsidR="0053266A">
        <w:br/>
      </w:r>
      <w:hyperlink r:id="rId42">
        <w:r w:rsidR="782B468F" w:rsidRPr="0FB0BDF4">
          <w:rPr>
            <w:rStyle w:val="Hyperlink"/>
            <w:color w:val="0E0E0E"/>
            <w:sz w:val="18"/>
            <w:szCs w:val="18"/>
          </w:rPr>
          <w:t>NHS England Specialty Guides</w:t>
        </w:r>
      </w:hyperlink>
      <w:r w:rsidR="782B468F" w:rsidRPr="0FB0BDF4">
        <w:rPr>
          <w:color w:val="0E0E0E"/>
          <w:sz w:val="18"/>
          <w:szCs w:val="18"/>
        </w:rPr>
        <w:t xml:space="preserve"> is useful re a range of conditions </w:t>
      </w:r>
      <w:r w:rsidR="549C970C" w:rsidRPr="0FB0BDF4">
        <w:rPr>
          <w:color w:val="0E0E0E"/>
          <w:sz w:val="18"/>
          <w:szCs w:val="18"/>
        </w:rPr>
        <w:t xml:space="preserve">and </w:t>
      </w:r>
      <w:r>
        <w:rPr>
          <w:color w:val="0E0E0E"/>
          <w:sz w:val="18"/>
          <w:szCs w:val="18"/>
        </w:rPr>
        <w:t xml:space="preserve">on </w:t>
      </w:r>
      <w:r w:rsidR="549C970C" w:rsidRPr="0FB0BDF4">
        <w:rPr>
          <w:color w:val="0E0E0E"/>
          <w:sz w:val="18"/>
          <w:szCs w:val="18"/>
        </w:rPr>
        <w:t xml:space="preserve">the </w:t>
      </w:r>
      <w:hyperlink r:id="rId43">
        <w:r w:rsidR="549C970C" w:rsidRPr="0FB0BDF4">
          <w:rPr>
            <w:rStyle w:val="Hyperlink"/>
            <w:color w:val="0E0E0E"/>
            <w:sz w:val="18"/>
            <w:szCs w:val="18"/>
          </w:rPr>
          <w:t>page on steroid use with MSK conditions</w:t>
        </w:r>
      </w:hyperlink>
      <w:r w:rsidR="549C970C" w:rsidRPr="0FB0BDF4">
        <w:rPr>
          <w:color w:val="0E0E0E"/>
          <w:sz w:val="18"/>
          <w:szCs w:val="18"/>
        </w:rPr>
        <w:t xml:space="preserve"> </w:t>
      </w:r>
      <w:r w:rsidR="78509CD5" w:rsidRPr="0FB0BDF4">
        <w:rPr>
          <w:color w:val="0E0E0E"/>
          <w:sz w:val="18"/>
          <w:szCs w:val="18"/>
        </w:rPr>
        <w:t xml:space="preserve">and regarding steroid injections they say </w:t>
      </w:r>
      <w:r w:rsidR="78509CD5" w:rsidRPr="0FB0BDF4">
        <w:rPr>
          <w:rFonts w:eastAsiaTheme="minorEastAsia" w:cstheme="minorBidi"/>
          <w:color w:val="0E0E0E"/>
          <w:sz w:val="18"/>
          <w:szCs w:val="18"/>
        </w:rPr>
        <w:t>“</w:t>
      </w:r>
      <w:r w:rsidR="78509CD5" w:rsidRPr="0FB0BDF4">
        <w:rPr>
          <w:rFonts w:eastAsiaTheme="minorEastAsia" w:cstheme="minorBidi"/>
          <w:color w:val="231F20"/>
          <w:sz w:val="18"/>
          <w:szCs w:val="18"/>
        </w:rPr>
        <w:t>triamcinolone acetonide 40mg is equivalent to 10 times normal daily physiological steroid production. Injected steroids have been shown to cause a variable degree of adrenal suppression for at least some weeks”</w:t>
      </w:r>
      <w:r w:rsidR="4C3B4BDF" w:rsidRPr="0FB0BDF4">
        <w:rPr>
          <w:rFonts w:eastAsiaTheme="minorEastAsia" w:cstheme="minorBidi"/>
          <w:color w:val="231F20"/>
          <w:sz w:val="18"/>
          <w:szCs w:val="18"/>
        </w:rPr>
        <w:t xml:space="preserve"> and we know that systemic steroids aren’t recommended during active covid-19 infection.</w:t>
      </w:r>
    </w:p>
    <w:p w14:paraId="4E4C52C9" w14:textId="77777777" w:rsidR="00E63D5B" w:rsidRPr="00E63D5B" w:rsidRDefault="00E63D5B" w:rsidP="00E63D5B">
      <w:pPr>
        <w:rPr>
          <w:rFonts w:eastAsiaTheme="minorEastAsia" w:cstheme="minorBidi"/>
          <w:color w:val="231F20"/>
          <w:sz w:val="18"/>
          <w:szCs w:val="18"/>
        </w:rPr>
      </w:pPr>
    </w:p>
    <w:p w14:paraId="757BD19F" w14:textId="57E6D298" w:rsidR="0053266A" w:rsidRDefault="0053266A" w:rsidP="0FB0BDF4">
      <w:pPr>
        <w:rPr>
          <w:rFonts w:eastAsiaTheme="minorEastAsia" w:cstheme="minorBidi"/>
          <w:color w:val="231F20"/>
          <w:sz w:val="18"/>
          <w:szCs w:val="18"/>
        </w:rPr>
      </w:pPr>
    </w:p>
    <w:p w14:paraId="309EF613" w14:textId="18E92C85" w:rsidR="0053266A" w:rsidRDefault="0053266A" w:rsidP="0FB0BDF4">
      <w:pPr>
        <w:rPr>
          <w:rFonts w:ascii="ArialMT" w:eastAsia="ArialMT" w:hAnsi="ArialMT" w:cs="ArialMT"/>
          <w:color w:val="231F20"/>
        </w:rPr>
      </w:pPr>
      <w:r>
        <w:br/>
      </w:r>
    </w:p>
    <w:p w14:paraId="400D4F95" w14:textId="41005EA4" w:rsidR="0053266A" w:rsidRDefault="0053266A" w:rsidP="0FB0BDF4">
      <w:pPr>
        <w:rPr>
          <w:rFonts w:ascii="ArialMT" w:eastAsia="ArialMT" w:hAnsi="ArialMT" w:cs="ArialMT"/>
          <w:color w:val="231F20"/>
        </w:rPr>
      </w:pPr>
    </w:p>
    <w:p w14:paraId="6152413A" w14:textId="106094DA" w:rsidR="0053266A" w:rsidRDefault="0053266A" w:rsidP="0FB0BDF4">
      <w:pPr>
        <w:rPr>
          <w:color w:val="0E0E0E"/>
          <w:sz w:val="18"/>
          <w:szCs w:val="18"/>
        </w:rPr>
      </w:pPr>
    </w:p>
    <w:p w14:paraId="38CC1682" w14:textId="243C5F34" w:rsidR="0053266A" w:rsidRDefault="0053266A" w:rsidP="0FB0BDF4">
      <w:pPr>
        <w:pStyle w:val="NormalWeb"/>
        <w:rPr>
          <w:rFonts w:asciiTheme="minorHAnsi" w:hAnsiTheme="minorHAnsi" w:cstheme="minorBidi"/>
          <w:b/>
          <w:bCs/>
          <w:sz w:val="18"/>
          <w:szCs w:val="18"/>
        </w:rPr>
      </w:pPr>
      <w:r>
        <w:br/>
      </w:r>
    </w:p>
    <w:p w14:paraId="203B1882" w14:textId="77777777" w:rsidR="0053266A" w:rsidRPr="0053266A" w:rsidRDefault="0053266A" w:rsidP="0053266A">
      <w:pPr>
        <w:pStyle w:val="NormalWeb"/>
        <w:rPr>
          <w:rFonts w:asciiTheme="minorHAnsi" w:hAnsiTheme="minorHAnsi" w:cstheme="minorHAnsi"/>
          <w:color w:val="3A3A3A"/>
          <w:spacing w:val="-5"/>
          <w:sz w:val="18"/>
          <w:szCs w:val="18"/>
        </w:rPr>
      </w:pPr>
    </w:p>
    <w:p w14:paraId="342FF0E2" w14:textId="77777777" w:rsidR="004344C7" w:rsidRPr="004344C7" w:rsidRDefault="004344C7" w:rsidP="004344C7">
      <w:pPr>
        <w:rPr>
          <w:sz w:val="18"/>
          <w:szCs w:val="18"/>
        </w:rPr>
      </w:pPr>
      <w:r w:rsidRPr="004344C7">
        <w:rPr>
          <w:sz w:val="18"/>
          <w:szCs w:val="18"/>
        </w:rPr>
        <w:br/>
      </w:r>
    </w:p>
    <w:p w14:paraId="2E38EC96" w14:textId="77777777" w:rsidR="004344C7" w:rsidRPr="004344C7" w:rsidRDefault="004344C7" w:rsidP="004344C7">
      <w:pPr>
        <w:rPr>
          <w:sz w:val="18"/>
          <w:szCs w:val="18"/>
        </w:rPr>
      </w:pPr>
    </w:p>
    <w:sectPr w:rsidR="004344C7" w:rsidRPr="004344C7" w:rsidSect="00434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B88"/>
    <w:multiLevelType w:val="multilevel"/>
    <w:tmpl w:val="175C6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35DAE"/>
    <w:multiLevelType w:val="multilevel"/>
    <w:tmpl w:val="76EA91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B20566"/>
    <w:multiLevelType w:val="multilevel"/>
    <w:tmpl w:val="B5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1910"/>
    <w:multiLevelType w:val="multilevel"/>
    <w:tmpl w:val="76EA9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03573"/>
    <w:multiLevelType w:val="hybridMultilevel"/>
    <w:tmpl w:val="78F252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290A12"/>
    <w:multiLevelType w:val="multilevel"/>
    <w:tmpl w:val="25E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04520"/>
    <w:multiLevelType w:val="hybridMultilevel"/>
    <w:tmpl w:val="560A3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607C92"/>
    <w:multiLevelType w:val="multilevel"/>
    <w:tmpl w:val="6FE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530CF"/>
    <w:multiLevelType w:val="hybridMultilevel"/>
    <w:tmpl w:val="79D0C6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4A278F"/>
    <w:multiLevelType w:val="hybridMultilevel"/>
    <w:tmpl w:val="95AC8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BB4A81"/>
    <w:multiLevelType w:val="hybridMultilevel"/>
    <w:tmpl w:val="18DE73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8"/>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C7"/>
    <w:rsid w:val="000C754F"/>
    <w:rsid w:val="000E0E68"/>
    <w:rsid w:val="000E465F"/>
    <w:rsid w:val="002118ED"/>
    <w:rsid w:val="002C0FA1"/>
    <w:rsid w:val="002D4EEC"/>
    <w:rsid w:val="00374029"/>
    <w:rsid w:val="003D7B83"/>
    <w:rsid w:val="004344C7"/>
    <w:rsid w:val="00490D1D"/>
    <w:rsid w:val="004C174D"/>
    <w:rsid w:val="0053266A"/>
    <w:rsid w:val="00540E0D"/>
    <w:rsid w:val="007C05AD"/>
    <w:rsid w:val="0080518C"/>
    <w:rsid w:val="00826470"/>
    <w:rsid w:val="008A46D8"/>
    <w:rsid w:val="00954D5B"/>
    <w:rsid w:val="009721B9"/>
    <w:rsid w:val="00AD4552"/>
    <w:rsid w:val="00BD6919"/>
    <w:rsid w:val="00C07557"/>
    <w:rsid w:val="00C52C71"/>
    <w:rsid w:val="00C5362C"/>
    <w:rsid w:val="00D0306E"/>
    <w:rsid w:val="00D06F15"/>
    <w:rsid w:val="00DB0ECC"/>
    <w:rsid w:val="00E63D5B"/>
    <w:rsid w:val="00EF0CF1"/>
    <w:rsid w:val="00F42060"/>
    <w:rsid w:val="00FB73BD"/>
    <w:rsid w:val="00FC7771"/>
    <w:rsid w:val="00FE7C11"/>
    <w:rsid w:val="00FF34C3"/>
    <w:rsid w:val="03CD14BD"/>
    <w:rsid w:val="040767FE"/>
    <w:rsid w:val="042731EF"/>
    <w:rsid w:val="044AF2F0"/>
    <w:rsid w:val="066A6465"/>
    <w:rsid w:val="0726A633"/>
    <w:rsid w:val="07739F95"/>
    <w:rsid w:val="08593239"/>
    <w:rsid w:val="08A4B32E"/>
    <w:rsid w:val="08D8BAE7"/>
    <w:rsid w:val="09B0AF58"/>
    <w:rsid w:val="09B1BC6E"/>
    <w:rsid w:val="0BE1D152"/>
    <w:rsid w:val="0FB0BDF4"/>
    <w:rsid w:val="10ED4114"/>
    <w:rsid w:val="1123FA06"/>
    <w:rsid w:val="133F4CFC"/>
    <w:rsid w:val="1408924B"/>
    <w:rsid w:val="155C6CC8"/>
    <w:rsid w:val="15E03775"/>
    <w:rsid w:val="174851E8"/>
    <w:rsid w:val="1796EB7B"/>
    <w:rsid w:val="1B90D98F"/>
    <w:rsid w:val="1E30AB9B"/>
    <w:rsid w:val="1F1A0FE6"/>
    <w:rsid w:val="1F427D56"/>
    <w:rsid w:val="206ECC0B"/>
    <w:rsid w:val="22F9139D"/>
    <w:rsid w:val="245B3399"/>
    <w:rsid w:val="27CE40BA"/>
    <w:rsid w:val="287C36B8"/>
    <w:rsid w:val="2E7B54CB"/>
    <w:rsid w:val="30A7D1A0"/>
    <w:rsid w:val="312A910A"/>
    <w:rsid w:val="3133FCD1"/>
    <w:rsid w:val="32828840"/>
    <w:rsid w:val="33115BCB"/>
    <w:rsid w:val="3483655C"/>
    <w:rsid w:val="350E0D34"/>
    <w:rsid w:val="35F88DD4"/>
    <w:rsid w:val="360A98AD"/>
    <w:rsid w:val="39CF959F"/>
    <w:rsid w:val="3D158E2C"/>
    <w:rsid w:val="3FD9FABD"/>
    <w:rsid w:val="4269F94C"/>
    <w:rsid w:val="431BF7B5"/>
    <w:rsid w:val="46D6B9CE"/>
    <w:rsid w:val="47CD3DB2"/>
    <w:rsid w:val="4985815A"/>
    <w:rsid w:val="4A582F65"/>
    <w:rsid w:val="4C3B4BDF"/>
    <w:rsid w:val="4C40B557"/>
    <w:rsid w:val="4CBD6564"/>
    <w:rsid w:val="4DA72B71"/>
    <w:rsid w:val="4DD9E98C"/>
    <w:rsid w:val="4DF15C8D"/>
    <w:rsid w:val="4EAC9069"/>
    <w:rsid w:val="4EFBD5B2"/>
    <w:rsid w:val="5436F7E7"/>
    <w:rsid w:val="549C970C"/>
    <w:rsid w:val="57CB8FCE"/>
    <w:rsid w:val="5A249875"/>
    <w:rsid w:val="5B1E6194"/>
    <w:rsid w:val="5C8A32DC"/>
    <w:rsid w:val="5C9631E5"/>
    <w:rsid w:val="5D9E5C3C"/>
    <w:rsid w:val="5E13F040"/>
    <w:rsid w:val="60FB76EE"/>
    <w:rsid w:val="613909C2"/>
    <w:rsid w:val="62266829"/>
    <w:rsid w:val="6462CAAF"/>
    <w:rsid w:val="6783176D"/>
    <w:rsid w:val="6A7AFAF4"/>
    <w:rsid w:val="6F02266E"/>
    <w:rsid w:val="6F26E3F3"/>
    <w:rsid w:val="6F307A40"/>
    <w:rsid w:val="70327591"/>
    <w:rsid w:val="708B07C0"/>
    <w:rsid w:val="71705C00"/>
    <w:rsid w:val="717095A8"/>
    <w:rsid w:val="71B51DD2"/>
    <w:rsid w:val="7335A4E5"/>
    <w:rsid w:val="73DD973F"/>
    <w:rsid w:val="74923EC2"/>
    <w:rsid w:val="76E0E5DC"/>
    <w:rsid w:val="782B468F"/>
    <w:rsid w:val="78509CD5"/>
    <w:rsid w:val="7AAC994C"/>
    <w:rsid w:val="7CED1F35"/>
    <w:rsid w:val="7D422C29"/>
    <w:rsid w:val="7DB9B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4E4D"/>
  <w15:chartTrackingRefBased/>
  <w15:docId w15:val="{0889948D-DE8C-4196-85FD-48DD0D47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8C"/>
    <w:rPr>
      <w:sz w:val="24"/>
      <w:szCs w:val="24"/>
    </w:rPr>
  </w:style>
  <w:style w:type="paragraph" w:styleId="Heading1">
    <w:name w:val="heading 1"/>
    <w:basedOn w:val="Normal"/>
    <w:next w:val="Normal"/>
    <w:link w:val="Heading1Char"/>
    <w:uiPriority w:val="9"/>
    <w:qFormat/>
    <w:rsid w:val="008051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51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51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51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51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51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518C"/>
    <w:pPr>
      <w:spacing w:before="240" w:after="60"/>
      <w:outlineLvl w:val="6"/>
    </w:pPr>
  </w:style>
  <w:style w:type="paragraph" w:styleId="Heading8">
    <w:name w:val="heading 8"/>
    <w:basedOn w:val="Normal"/>
    <w:next w:val="Normal"/>
    <w:link w:val="Heading8Char"/>
    <w:uiPriority w:val="9"/>
    <w:semiHidden/>
    <w:unhideWhenUsed/>
    <w:qFormat/>
    <w:rsid w:val="0080518C"/>
    <w:pPr>
      <w:spacing w:before="240" w:after="60"/>
      <w:outlineLvl w:val="7"/>
    </w:pPr>
    <w:rPr>
      <w:i/>
      <w:iCs/>
    </w:rPr>
  </w:style>
  <w:style w:type="paragraph" w:styleId="Heading9">
    <w:name w:val="heading 9"/>
    <w:basedOn w:val="Normal"/>
    <w:next w:val="Normal"/>
    <w:link w:val="Heading9Char"/>
    <w:uiPriority w:val="9"/>
    <w:semiHidden/>
    <w:unhideWhenUsed/>
    <w:qFormat/>
    <w:rsid w:val="008051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51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51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518C"/>
    <w:rPr>
      <w:b/>
      <w:bCs/>
      <w:sz w:val="28"/>
      <w:szCs w:val="28"/>
    </w:rPr>
  </w:style>
  <w:style w:type="character" w:customStyle="1" w:styleId="Heading5Char">
    <w:name w:val="Heading 5 Char"/>
    <w:basedOn w:val="DefaultParagraphFont"/>
    <w:link w:val="Heading5"/>
    <w:uiPriority w:val="9"/>
    <w:semiHidden/>
    <w:rsid w:val="0080518C"/>
    <w:rPr>
      <w:b/>
      <w:bCs/>
      <w:i/>
      <w:iCs/>
      <w:sz w:val="26"/>
      <w:szCs w:val="26"/>
    </w:rPr>
  </w:style>
  <w:style w:type="character" w:customStyle="1" w:styleId="Heading6Char">
    <w:name w:val="Heading 6 Char"/>
    <w:basedOn w:val="DefaultParagraphFont"/>
    <w:link w:val="Heading6"/>
    <w:uiPriority w:val="9"/>
    <w:semiHidden/>
    <w:rsid w:val="0080518C"/>
    <w:rPr>
      <w:b/>
      <w:bCs/>
    </w:rPr>
  </w:style>
  <w:style w:type="character" w:customStyle="1" w:styleId="Heading7Char">
    <w:name w:val="Heading 7 Char"/>
    <w:basedOn w:val="DefaultParagraphFont"/>
    <w:link w:val="Heading7"/>
    <w:uiPriority w:val="9"/>
    <w:semiHidden/>
    <w:rsid w:val="0080518C"/>
    <w:rPr>
      <w:sz w:val="24"/>
      <w:szCs w:val="24"/>
    </w:rPr>
  </w:style>
  <w:style w:type="character" w:customStyle="1" w:styleId="Heading8Char">
    <w:name w:val="Heading 8 Char"/>
    <w:basedOn w:val="DefaultParagraphFont"/>
    <w:link w:val="Heading8"/>
    <w:uiPriority w:val="9"/>
    <w:semiHidden/>
    <w:rsid w:val="0080518C"/>
    <w:rPr>
      <w:i/>
      <w:iCs/>
      <w:sz w:val="24"/>
      <w:szCs w:val="24"/>
    </w:rPr>
  </w:style>
  <w:style w:type="character" w:customStyle="1" w:styleId="Heading9Char">
    <w:name w:val="Heading 9 Char"/>
    <w:basedOn w:val="DefaultParagraphFont"/>
    <w:link w:val="Heading9"/>
    <w:uiPriority w:val="9"/>
    <w:semiHidden/>
    <w:rsid w:val="0080518C"/>
    <w:rPr>
      <w:rFonts w:asciiTheme="majorHAnsi" w:eastAsiaTheme="majorEastAsia" w:hAnsiTheme="majorHAnsi"/>
    </w:rPr>
  </w:style>
  <w:style w:type="paragraph" w:styleId="Title">
    <w:name w:val="Title"/>
    <w:basedOn w:val="Normal"/>
    <w:next w:val="Normal"/>
    <w:link w:val="TitleChar"/>
    <w:uiPriority w:val="10"/>
    <w:qFormat/>
    <w:rsid w:val="008051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51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51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518C"/>
    <w:rPr>
      <w:rFonts w:asciiTheme="majorHAnsi" w:eastAsiaTheme="majorEastAsia" w:hAnsiTheme="majorHAnsi"/>
      <w:sz w:val="24"/>
      <w:szCs w:val="24"/>
    </w:rPr>
  </w:style>
  <w:style w:type="character" w:styleId="Strong">
    <w:name w:val="Strong"/>
    <w:basedOn w:val="DefaultParagraphFont"/>
    <w:uiPriority w:val="22"/>
    <w:qFormat/>
    <w:rsid w:val="0080518C"/>
    <w:rPr>
      <w:b/>
      <w:bCs/>
    </w:rPr>
  </w:style>
  <w:style w:type="character" w:styleId="Emphasis">
    <w:name w:val="Emphasis"/>
    <w:basedOn w:val="DefaultParagraphFont"/>
    <w:uiPriority w:val="20"/>
    <w:qFormat/>
    <w:rsid w:val="0080518C"/>
    <w:rPr>
      <w:rFonts w:asciiTheme="minorHAnsi" w:hAnsiTheme="minorHAnsi"/>
      <w:b/>
      <w:i/>
      <w:iCs/>
    </w:rPr>
  </w:style>
  <w:style w:type="paragraph" w:styleId="NoSpacing">
    <w:name w:val="No Spacing"/>
    <w:basedOn w:val="Normal"/>
    <w:uiPriority w:val="1"/>
    <w:qFormat/>
    <w:rsid w:val="0080518C"/>
    <w:rPr>
      <w:szCs w:val="32"/>
    </w:rPr>
  </w:style>
  <w:style w:type="paragraph" w:styleId="ListParagraph">
    <w:name w:val="List Paragraph"/>
    <w:basedOn w:val="Normal"/>
    <w:uiPriority w:val="34"/>
    <w:qFormat/>
    <w:rsid w:val="0080518C"/>
    <w:pPr>
      <w:ind w:left="720"/>
      <w:contextualSpacing/>
    </w:pPr>
  </w:style>
  <w:style w:type="paragraph" w:styleId="Quote">
    <w:name w:val="Quote"/>
    <w:basedOn w:val="Normal"/>
    <w:next w:val="Normal"/>
    <w:link w:val="QuoteChar"/>
    <w:uiPriority w:val="29"/>
    <w:qFormat/>
    <w:rsid w:val="0080518C"/>
    <w:rPr>
      <w:i/>
    </w:rPr>
  </w:style>
  <w:style w:type="character" w:customStyle="1" w:styleId="QuoteChar">
    <w:name w:val="Quote Char"/>
    <w:basedOn w:val="DefaultParagraphFont"/>
    <w:link w:val="Quote"/>
    <w:uiPriority w:val="29"/>
    <w:rsid w:val="0080518C"/>
    <w:rPr>
      <w:i/>
      <w:sz w:val="24"/>
      <w:szCs w:val="24"/>
    </w:rPr>
  </w:style>
  <w:style w:type="paragraph" w:styleId="IntenseQuote">
    <w:name w:val="Intense Quote"/>
    <w:basedOn w:val="Normal"/>
    <w:next w:val="Normal"/>
    <w:link w:val="IntenseQuoteChar"/>
    <w:uiPriority w:val="30"/>
    <w:qFormat/>
    <w:rsid w:val="0080518C"/>
    <w:pPr>
      <w:ind w:left="720" w:right="720"/>
    </w:pPr>
    <w:rPr>
      <w:b/>
      <w:i/>
      <w:szCs w:val="22"/>
    </w:rPr>
  </w:style>
  <w:style w:type="character" w:customStyle="1" w:styleId="IntenseQuoteChar">
    <w:name w:val="Intense Quote Char"/>
    <w:basedOn w:val="DefaultParagraphFont"/>
    <w:link w:val="IntenseQuote"/>
    <w:uiPriority w:val="30"/>
    <w:rsid w:val="0080518C"/>
    <w:rPr>
      <w:b/>
      <w:i/>
      <w:sz w:val="24"/>
    </w:rPr>
  </w:style>
  <w:style w:type="character" w:styleId="SubtleEmphasis">
    <w:name w:val="Subtle Emphasis"/>
    <w:uiPriority w:val="19"/>
    <w:qFormat/>
    <w:rsid w:val="0080518C"/>
    <w:rPr>
      <w:i/>
      <w:color w:val="5A5A5A" w:themeColor="text1" w:themeTint="A5"/>
    </w:rPr>
  </w:style>
  <w:style w:type="character" w:styleId="IntenseEmphasis">
    <w:name w:val="Intense Emphasis"/>
    <w:basedOn w:val="DefaultParagraphFont"/>
    <w:uiPriority w:val="21"/>
    <w:qFormat/>
    <w:rsid w:val="0080518C"/>
    <w:rPr>
      <w:b/>
      <w:i/>
      <w:sz w:val="24"/>
      <w:szCs w:val="24"/>
      <w:u w:val="single"/>
    </w:rPr>
  </w:style>
  <w:style w:type="character" w:styleId="SubtleReference">
    <w:name w:val="Subtle Reference"/>
    <w:basedOn w:val="DefaultParagraphFont"/>
    <w:uiPriority w:val="31"/>
    <w:qFormat/>
    <w:rsid w:val="0080518C"/>
    <w:rPr>
      <w:sz w:val="24"/>
      <w:szCs w:val="24"/>
      <w:u w:val="single"/>
    </w:rPr>
  </w:style>
  <w:style w:type="character" w:styleId="IntenseReference">
    <w:name w:val="Intense Reference"/>
    <w:basedOn w:val="DefaultParagraphFont"/>
    <w:uiPriority w:val="32"/>
    <w:qFormat/>
    <w:rsid w:val="0080518C"/>
    <w:rPr>
      <w:b/>
      <w:sz w:val="24"/>
      <w:u w:val="single"/>
    </w:rPr>
  </w:style>
  <w:style w:type="character" w:styleId="BookTitle">
    <w:name w:val="Book Title"/>
    <w:basedOn w:val="DefaultParagraphFont"/>
    <w:uiPriority w:val="33"/>
    <w:qFormat/>
    <w:rsid w:val="008051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518C"/>
    <w:pPr>
      <w:outlineLvl w:val="9"/>
    </w:pPr>
  </w:style>
  <w:style w:type="character" w:styleId="Hyperlink">
    <w:name w:val="Hyperlink"/>
    <w:basedOn w:val="DefaultParagraphFont"/>
    <w:uiPriority w:val="99"/>
    <w:unhideWhenUsed/>
    <w:rsid w:val="004344C7"/>
    <w:rPr>
      <w:color w:val="0563C1" w:themeColor="hyperlink"/>
      <w:u w:val="single"/>
    </w:rPr>
  </w:style>
  <w:style w:type="character" w:styleId="FollowedHyperlink">
    <w:name w:val="FollowedHyperlink"/>
    <w:basedOn w:val="DefaultParagraphFont"/>
    <w:uiPriority w:val="99"/>
    <w:semiHidden/>
    <w:unhideWhenUsed/>
    <w:rsid w:val="004344C7"/>
    <w:rPr>
      <w:color w:val="954F72" w:themeColor="followedHyperlink"/>
      <w:u w:val="single"/>
    </w:rPr>
  </w:style>
  <w:style w:type="paragraph" w:styleId="BalloonText">
    <w:name w:val="Balloon Text"/>
    <w:basedOn w:val="Normal"/>
    <w:link w:val="BalloonTextChar"/>
    <w:uiPriority w:val="99"/>
    <w:semiHidden/>
    <w:unhideWhenUsed/>
    <w:rsid w:val="002D4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EC"/>
    <w:rPr>
      <w:rFonts w:ascii="Segoe UI" w:hAnsi="Segoe UI" w:cs="Segoe UI"/>
      <w:sz w:val="18"/>
      <w:szCs w:val="18"/>
    </w:rPr>
  </w:style>
  <w:style w:type="paragraph" w:customStyle="1" w:styleId="paragraph">
    <w:name w:val="paragraph"/>
    <w:basedOn w:val="Normal"/>
    <w:rsid w:val="00490D1D"/>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490D1D"/>
  </w:style>
  <w:style w:type="paragraph" w:styleId="NormalWeb">
    <w:name w:val="Normal (Web)"/>
    <w:basedOn w:val="Normal"/>
    <w:uiPriority w:val="99"/>
    <w:unhideWhenUsed/>
    <w:rsid w:val="0053266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6974">
      <w:bodyDiv w:val="1"/>
      <w:marLeft w:val="0"/>
      <w:marRight w:val="0"/>
      <w:marTop w:val="0"/>
      <w:marBottom w:val="0"/>
      <w:divBdr>
        <w:top w:val="none" w:sz="0" w:space="0" w:color="auto"/>
        <w:left w:val="none" w:sz="0" w:space="0" w:color="auto"/>
        <w:bottom w:val="none" w:sz="0" w:space="0" w:color="auto"/>
        <w:right w:val="none" w:sz="0" w:space="0" w:color="auto"/>
      </w:divBdr>
      <w:divsChild>
        <w:div w:id="1090615781">
          <w:marLeft w:val="0"/>
          <w:marRight w:val="0"/>
          <w:marTop w:val="0"/>
          <w:marBottom w:val="0"/>
          <w:divBdr>
            <w:top w:val="none" w:sz="0" w:space="0" w:color="auto"/>
            <w:left w:val="none" w:sz="0" w:space="0" w:color="auto"/>
            <w:bottom w:val="none" w:sz="0" w:space="0" w:color="auto"/>
            <w:right w:val="none" w:sz="0" w:space="0" w:color="auto"/>
          </w:divBdr>
          <w:divsChild>
            <w:div w:id="117069581">
              <w:marLeft w:val="0"/>
              <w:marRight w:val="0"/>
              <w:marTop w:val="0"/>
              <w:marBottom w:val="0"/>
              <w:divBdr>
                <w:top w:val="none" w:sz="0" w:space="0" w:color="auto"/>
                <w:left w:val="none" w:sz="0" w:space="0" w:color="auto"/>
                <w:bottom w:val="none" w:sz="0" w:space="0" w:color="auto"/>
                <w:right w:val="none" w:sz="0" w:space="0" w:color="auto"/>
              </w:divBdr>
              <w:divsChild>
                <w:div w:id="523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2851">
      <w:bodyDiv w:val="1"/>
      <w:marLeft w:val="0"/>
      <w:marRight w:val="0"/>
      <w:marTop w:val="0"/>
      <w:marBottom w:val="0"/>
      <w:divBdr>
        <w:top w:val="none" w:sz="0" w:space="0" w:color="auto"/>
        <w:left w:val="none" w:sz="0" w:space="0" w:color="auto"/>
        <w:bottom w:val="none" w:sz="0" w:space="0" w:color="auto"/>
        <w:right w:val="none" w:sz="0" w:space="0" w:color="auto"/>
      </w:divBdr>
      <w:divsChild>
        <w:div w:id="203031089">
          <w:marLeft w:val="0"/>
          <w:marRight w:val="0"/>
          <w:marTop w:val="0"/>
          <w:marBottom w:val="0"/>
          <w:divBdr>
            <w:top w:val="none" w:sz="0" w:space="0" w:color="auto"/>
            <w:left w:val="none" w:sz="0" w:space="0" w:color="auto"/>
            <w:bottom w:val="none" w:sz="0" w:space="0" w:color="auto"/>
            <w:right w:val="none" w:sz="0" w:space="0" w:color="auto"/>
          </w:divBdr>
          <w:divsChild>
            <w:div w:id="541869471">
              <w:marLeft w:val="0"/>
              <w:marRight w:val="0"/>
              <w:marTop w:val="0"/>
              <w:marBottom w:val="0"/>
              <w:divBdr>
                <w:top w:val="none" w:sz="0" w:space="0" w:color="auto"/>
                <w:left w:val="none" w:sz="0" w:space="0" w:color="auto"/>
                <w:bottom w:val="none" w:sz="0" w:space="0" w:color="auto"/>
                <w:right w:val="none" w:sz="0" w:space="0" w:color="auto"/>
              </w:divBdr>
              <w:divsChild>
                <w:div w:id="1410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527">
      <w:bodyDiv w:val="1"/>
      <w:marLeft w:val="0"/>
      <w:marRight w:val="0"/>
      <w:marTop w:val="0"/>
      <w:marBottom w:val="0"/>
      <w:divBdr>
        <w:top w:val="none" w:sz="0" w:space="0" w:color="auto"/>
        <w:left w:val="none" w:sz="0" w:space="0" w:color="auto"/>
        <w:bottom w:val="none" w:sz="0" w:space="0" w:color="auto"/>
        <w:right w:val="none" w:sz="0" w:space="0" w:color="auto"/>
      </w:divBdr>
    </w:div>
    <w:div w:id="851721039">
      <w:bodyDiv w:val="1"/>
      <w:marLeft w:val="0"/>
      <w:marRight w:val="0"/>
      <w:marTop w:val="0"/>
      <w:marBottom w:val="0"/>
      <w:divBdr>
        <w:top w:val="none" w:sz="0" w:space="0" w:color="auto"/>
        <w:left w:val="none" w:sz="0" w:space="0" w:color="auto"/>
        <w:bottom w:val="none" w:sz="0" w:space="0" w:color="auto"/>
        <w:right w:val="none" w:sz="0" w:space="0" w:color="auto"/>
      </w:divBdr>
      <w:divsChild>
        <w:div w:id="775175307">
          <w:marLeft w:val="0"/>
          <w:marRight w:val="0"/>
          <w:marTop w:val="0"/>
          <w:marBottom w:val="0"/>
          <w:divBdr>
            <w:top w:val="none" w:sz="0" w:space="0" w:color="auto"/>
            <w:left w:val="none" w:sz="0" w:space="0" w:color="auto"/>
            <w:bottom w:val="none" w:sz="0" w:space="0" w:color="auto"/>
            <w:right w:val="none" w:sz="0" w:space="0" w:color="auto"/>
          </w:divBdr>
          <w:divsChild>
            <w:div w:id="231937430">
              <w:marLeft w:val="0"/>
              <w:marRight w:val="0"/>
              <w:marTop w:val="0"/>
              <w:marBottom w:val="0"/>
              <w:divBdr>
                <w:top w:val="none" w:sz="0" w:space="0" w:color="auto"/>
                <w:left w:val="none" w:sz="0" w:space="0" w:color="auto"/>
                <w:bottom w:val="none" w:sz="0" w:space="0" w:color="auto"/>
                <w:right w:val="none" w:sz="0" w:space="0" w:color="auto"/>
              </w:divBdr>
              <w:divsChild>
                <w:div w:id="1745642116">
                  <w:marLeft w:val="0"/>
                  <w:marRight w:val="0"/>
                  <w:marTop w:val="0"/>
                  <w:marBottom w:val="0"/>
                  <w:divBdr>
                    <w:top w:val="none" w:sz="0" w:space="0" w:color="auto"/>
                    <w:left w:val="none" w:sz="0" w:space="0" w:color="auto"/>
                    <w:bottom w:val="none" w:sz="0" w:space="0" w:color="auto"/>
                    <w:right w:val="none" w:sz="0" w:space="0" w:color="auto"/>
                  </w:divBdr>
                  <w:divsChild>
                    <w:div w:id="4549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9461">
      <w:bodyDiv w:val="1"/>
      <w:marLeft w:val="0"/>
      <w:marRight w:val="0"/>
      <w:marTop w:val="0"/>
      <w:marBottom w:val="0"/>
      <w:divBdr>
        <w:top w:val="none" w:sz="0" w:space="0" w:color="auto"/>
        <w:left w:val="none" w:sz="0" w:space="0" w:color="auto"/>
        <w:bottom w:val="none" w:sz="0" w:space="0" w:color="auto"/>
        <w:right w:val="none" w:sz="0" w:space="0" w:color="auto"/>
      </w:divBdr>
    </w:div>
    <w:div w:id="958881447">
      <w:bodyDiv w:val="1"/>
      <w:marLeft w:val="0"/>
      <w:marRight w:val="0"/>
      <w:marTop w:val="0"/>
      <w:marBottom w:val="0"/>
      <w:divBdr>
        <w:top w:val="none" w:sz="0" w:space="0" w:color="auto"/>
        <w:left w:val="none" w:sz="0" w:space="0" w:color="auto"/>
        <w:bottom w:val="none" w:sz="0" w:space="0" w:color="auto"/>
        <w:right w:val="none" w:sz="0" w:space="0" w:color="auto"/>
      </w:divBdr>
      <w:divsChild>
        <w:div w:id="1126116557">
          <w:marLeft w:val="0"/>
          <w:marRight w:val="0"/>
          <w:marTop w:val="0"/>
          <w:marBottom w:val="0"/>
          <w:divBdr>
            <w:top w:val="none" w:sz="0" w:space="0" w:color="auto"/>
            <w:left w:val="none" w:sz="0" w:space="0" w:color="auto"/>
            <w:bottom w:val="none" w:sz="0" w:space="0" w:color="auto"/>
            <w:right w:val="none" w:sz="0" w:space="0" w:color="auto"/>
          </w:divBdr>
          <w:divsChild>
            <w:div w:id="1719086845">
              <w:marLeft w:val="0"/>
              <w:marRight w:val="0"/>
              <w:marTop w:val="0"/>
              <w:marBottom w:val="0"/>
              <w:divBdr>
                <w:top w:val="none" w:sz="0" w:space="0" w:color="auto"/>
                <w:left w:val="none" w:sz="0" w:space="0" w:color="auto"/>
                <w:bottom w:val="none" w:sz="0" w:space="0" w:color="auto"/>
                <w:right w:val="none" w:sz="0" w:space="0" w:color="auto"/>
              </w:divBdr>
              <w:divsChild>
                <w:div w:id="1272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3357">
      <w:bodyDiv w:val="1"/>
      <w:marLeft w:val="0"/>
      <w:marRight w:val="0"/>
      <w:marTop w:val="0"/>
      <w:marBottom w:val="0"/>
      <w:divBdr>
        <w:top w:val="none" w:sz="0" w:space="0" w:color="auto"/>
        <w:left w:val="none" w:sz="0" w:space="0" w:color="auto"/>
        <w:bottom w:val="none" w:sz="0" w:space="0" w:color="auto"/>
        <w:right w:val="none" w:sz="0" w:space="0" w:color="auto"/>
      </w:divBdr>
      <w:divsChild>
        <w:div w:id="988826431">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sChild>
                <w:div w:id="1567842352">
                  <w:marLeft w:val="0"/>
                  <w:marRight w:val="0"/>
                  <w:marTop w:val="0"/>
                  <w:marBottom w:val="0"/>
                  <w:divBdr>
                    <w:top w:val="none" w:sz="0" w:space="0" w:color="auto"/>
                    <w:left w:val="none" w:sz="0" w:space="0" w:color="auto"/>
                    <w:bottom w:val="none" w:sz="0" w:space="0" w:color="auto"/>
                    <w:right w:val="none" w:sz="0" w:space="0" w:color="auto"/>
                  </w:divBdr>
                  <w:divsChild>
                    <w:div w:id="11019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03100">
      <w:bodyDiv w:val="1"/>
      <w:marLeft w:val="0"/>
      <w:marRight w:val="0"/>
      <w:marTop w:val="0"/>
      <w:marBottom w:val="0"/>
      <w:divBdr>
        <w:top w:val="none" w:sz="0" w:space="0" w:color="auto"/>
        <w:left w:val="none" w:sz="0" w:space="0" w:color="auto"/>
        <w:bottom w:val="none" w:sz="0" w:space="0" w:color="auto"/>
        <w:right w:val="none" w:sz="0" w:space="0" w:color="auto"/>
      </w:divBdr>
    </w:div>
    <w:div w:id="17056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thoracic.org.uk/about-us/covid-19-identifying-patients-for-shielding/" TargetMode="External"/><Relationship Id="rId18" Type="http://schemas.openxmlformats.org/officeDocument/2006/relationships/hyperlink" Target="https://goldcopd.org/wp-content/uploads/2019/12/GOLD-2020-FINAL-ver1.2-03Dec19_WMV.pdf" TargetMode="External"/><Relationship Id="rId26" Type="http://schemas.openxmlformats.org/officeDocument/2006/relationships/hyperlink" Target="https://www.brit-thoracic.org.uk/media/455098/osa-alliance-cpap-covid-19-advice-20-3-20-v10.pdf" TargetMode="External"/><Relationship Id="rId39" Type="http://schemas.openxmlformats.org/officeDocument/2006/relationships/hyperlink" Target="https://www.versusarthritis.org/media/22314/guide-to-shielding-and-social-distancing-for-children-a-tool-for-parents.pdf" TargetMode="External"/><Relationship Id="rId21" Type="http://schemas.openxmlformats.org/officeDocument/2006/relationships/hyperlink" Target="https://www.brit-thoracic.org.uk/about-us/covid-19-identifying-patients-for-shielding/" TargetMode="External"/><Relationship Id="rId34" Type="http://schemas.openxmlformats.org/officeDocument/2006/relationships/hyperlink" Target="https://www.mndassociation.org/shielding-and-protecting-vulnerable-persons-from-covid-19/" TargetMode="External"/><Relationship Id="rId42" Type="http://schemas.openxmlformats.org/officeDocument/2006/relationships/hyperlink" Target="https://www.england.nhs.uk/coronavirus/secondary-care/other-resources/specialty-guid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heumatology.org.uk/Portals/0/Documents/COVID19_risk_scoring_guide.pdf" TargetMode="External"/><Relationship Id="rId29" Type="http://schemas.openxmlformats.org/officeDocument/2006/relationships/hyperlink" Target="https://britishlivertrust.org.uk/coronavirus-covid-19-health-advice-for-people-with-liver-disease-and-liver-transplant-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hma.org.uk/advice/triggers/coronavirus-covid-19/shielding-advice-high-risk/" TargetMode="External"/><Relationship Id="rId24" Type="http://schemas.openxmlformats.org/officeDocument/2006/relationships/hyperlink" Target="https://www.brit-thoracic.org.uk/about-us/covid-19-identifying-patients-for-shielding/" TargetMode="External"/><Relationship Id="rId32" Type="http://schemas.openxmlformats.org/officeDocument/2006/relationships/hyperlink" Target="https://www.parkinsons.org.uk/news/understanding-coronavirus-and-parkinsons" TargetMode="External"/><Relationship Id="rId37" Type="http://schemas.openxmlformats.org/officeDocument/2006/relationships/hyperlink" Target="https://www.rheumatology.org.uk/Portals/0/Documents/COVID19_risk_scoring_guide.pdf" TargetMode="External"/><Relationship Id="rId40" Type="http://schemas.openxmlformats.org/officeDocument/2006/relationships/hyperlink" Target="https://www.england.nhs.uk/coronavirus/wp-content/uploads/sites/52/2020/03/clinical-guide-rheumatology-patients-v2-08-april-2020.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coronavirus/shielded-patient-list/methodology/rule-logic" TargetMode="External"/><Relationship Id="rId23" Type="http://schemas.openxmlformats.org/officeDocument/2006/relationships/hyperlink" Target="https://www.brit-thoracic.org.uk/about-us/covid-19-identifying-patients-for-shielding/" TargetMode="External"/><Relationship Id="rId28" Type="http://schemas.openxmlformats.org/officeDocument/2006/relationships/hyperlink" Target="https://www.kidneycareuk.org/news-and-campaigns/coronavirus-advice/" TargetMode="External"/><Relationship Id="rId36" Type="http://schemas.openxmlformats.org/officeDocument/2006/relationships/hyperlink" Target="https://www.actionduchenne.org/coronavirus-covid-19-advice/" TargetMode="External"/><Relationship Id="rId10" Type="http://schemas.openxmlformats.org/officeDocument/2006/relationships/hyperlink" Target="https://gov.wales/guidance-on-shielding-and-protecting-people-defined-on-medical-grounds-as-extremely-vulnerable-from-coronavirus-covid-19-html" TargetMode="External"/><Relationship Id="rId19" Type="http://schemas.openxmlformats.org/officeDocument/2006/relationships/hyperlink" Target="https://goldcopd.org/wp-content/uploads/2020/03/GOLD-2020-POCKET-GUIDE-ver1.0_FINAL-WMV.pdf" TargetMode="External"/><Relationship Id="rId31" Type="http://schemas.openxmlformats.org/officeDocument/2006/relationships/hyperlink" Target="https://www.theabn.org/page/covid19_respon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learning.rcgp.org.uk/course/view.php?id=377" TargetMode="External"/><Relationship Id="rId14" Type="http://schemas.openxmlformats.org/officeDocument/2006/relationships/hyperlink" Target="https://www.asthma.org.uk/advice/severe-asthma/treating-severe-asthma/xolair-and-new-treatments/" TargetMode="External"/><Relationship Id="rId22" Type="http://schemas.openxmlformats.org/officeDocument/2006/relationships/hyperlink" Target="https://www.sarcoidosisuk.org/information-hub/coronavirus-faq/" TargetMode="External"/><Relationship Id="rId27" Type="http://schemas.openxmlformats.org/officeDocument/2006/relationships/hyperlink" Target="https://www.bhf.org.uk/informationsupport/heart-matters-magazine/news/coronavirus-and-your-health" TargetMode="External"/><Relationship Id="rId30" Type="http://schemas.openxmlformats.org/officeDocument/2006/relationships/hyperlink" Target="https://www.sarcoidosisuk.org/information-hub/coronavirus-faq/" TargetMode="External"/><Relationship Id="rId35" Type="http://schemas.openxmlformats.org/officeDocument/2006/relationships/hyperlink" Target="https://www.musculardystrophyuk.org/get-the-right-care-and-support/coronavirus-information-and-advice-for-people-with-muscle-wasting-conditions/" TargetMode="External"/><Relationship Id="rId43" Type="http://schemas.openxmlformats.org/officeDocument/2006/relationships/hyperlink" Target="https://www.england.nhs.uk/coronavirus/wp-content/uploads/sites/52/2020/03/CO0043_Specialty-guide-and-coronavirus_-MSK-corcosteroid_-v1-25March.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gital.nhs.uk/coronavirus/shielded-patient-list/methodology/rule-logic" TargetMode="External"/><Relationship Id="rId17" Type="http://schemas.openxmlformats.org/officeDocument/2006/relationships/hyperlink" Target="https://www.pcrs-uk.org/sites/pcrs-uk.org/files/RespInhalerTable_FINAL_0.pdf" TargetMode="External"/><Relationship Id="rId25" Type="http://schemas.openxmlformats.org/officeDocument/2006/relationships/hyperlink" Target="https://www.pcrs-uk.org/mrc-dyspnoea-scale" TargetMode="External"/><Relationship Id="rId33" Type="http://schemas.openxmlformats.org/officeDocument/2006/relationships/hyperlink" Target="https://www.mssociety.org.uk/care-and-support/ms-and-coronavirus-care-and-support" TargetMode="External"/><Relationship Id="rId38" Type="http://schemas.openxmlformats.org/officeDocument/2006/relationships/hyperlink" Target="https://www.versusarthritis.org/covid-19-updates/covid-19-assessing-your-risk/" TargetMode="External"/><Relationship Id="rId20" Type="http://schemas.openxmlformats.org/officeDocument/2006/relationships/hyperlink" Target="https://www.actionpulmonaryfibrosis.org/protecting-yourself/" TargetMode="External"/><Relationship Id="rId41" Type="http://schemas.openxmlformats.org/officeDocument/2006/relationships/hyperlink" Target="https://www.nice.org.uk/guidance/NG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0A7AE9B62134D8323A532BFF6433A" ma:contentTypeVersion="12" ma:contentTypeDescription="Create a new document." ma:contentTypeScope="" ma:versionID="204796d36de3547e8d959e2feb5827e6">
  <xsd:schema xmlns:xsd="http://www.w3.org/2001/XMLSchema" xmlns:xs="http://www.w3.org/2001/XMLSchema" xmlns:p="http://schemas.microsoft.com/office/2006/metadata/properties" xmlns:ns3="3a285b30-84e9-46b8-b020-b90115563a12" xmlns:ns4="b5b5d51c-74be-4328-a9af-bdaa2f60a7ad" targetNamespace="http://schemas.microsoft.com/office/2006/metadata/properties" ma:root="true" ma:fieldsID="cc028c4a61cb8c21c6f6dd6dd31ef8b7" ns3:_="" ns4:_="">
    <xsd:import namespace="3a285b30-84e9-46b8-b020-b90115563a12"/>
    <xsd:import namespace="b5b5d51c-74be-4328-a9af-bdaa2f60a7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5b30-84e9-46b8-b020-b9011556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d51c-74be-4328-a9af-bdaa2f60a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93F6-B000-481D-8045-FB3EA34F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5b30-84e9-46b8-b020-b90115563a12"/>
    <ds:schemaRef ds:uri="b5b5d51c-74be-4328-a9af-bdaa2f60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7B3B6-F43F-4EC0-AC68-08ACFA51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90DB7-A0E0-4118-9DCC-B33EEFDB49AA}">
  <ds:schemaRefs>
    <ds:schemaRef ds:uri="http://schemas.microsoft.com/sharepoint/v3/contenttype/forms"/>
  </ds:schemaRefs>
</ds:datastoreItem>
</file>

<file path=customXml/itemProps4.xml><?xml version="1.0" encoding="utf-8"?>
<ds:datastoreItem xmlns:ds="http://schemas.openxmlformats.org/officeDocument/2006/customXml" ds:itemID="{CBC8C027-6C4D-2449-BC7F-A39CB8D7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Reid (St Asaph - Pen-Y-Bont Surgery)</dc:creator>
  <cp:keywords/>
  <dc:description/>
  <cp:lastModifiedBy>Iain Reid</cp:lastModifiedBy>
  <cp:revision>2</cp:revision>
  <cp:lastPrinted>2020-04-16T11:41:00Z</cp:lastPrinted>
  <dcterms:created xsi:type="dcterms:W3CDTF">2020-04-16T15:55:00Z</dcterms:created>
  <dcterms:modified xsi:type="dcterms:W3CDTF">2020-04-16T15:55:00Z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0x010100F9E0A7AE9B62134D8323A532BFF6433A</vt:lpwstr>
  </property>
</Properties>
</file>